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C3" w:rsidRPr="00534ED2" w:rsidRDefault="009903C3" w:rsidP="007D1DFE">
      <w:pPr>
        <w:spacing w:line="240" w:lineRule="auto"/>
        <w:jc w:val="center"/>
        <w:rPr>
          <w:rFonts w:ascii="Times New Roman" w:eastAsia="Times New Roman" w:hAnsi="Times New Roman" w:cs="Times New Roman"/>
          <w:b/>
          <w:sz w:val="32"/>
          <w:szCs w:val="32"/>
          <w:lang w:eastAsia="it-IT"/>
        </w:rPr>
      </w:pPr>
    </w:p>
    <w:p w:rsidR="009903C3" w:rsidRPr="00534ED2" w:rsidRDefault="009903C3" w:rsidP="007D1DFE">
      <w:pPr>
        <w:spacing w:line="240" w:lineRule="auto"/>
        <w:jc w:val="center"/>
        <w:rPr>
          <w:rFonts w:ascii="Times New Roman" w:eastAsia="Times New Roman" w:hAnsi="Times New Roman" w:cs="Times New Roman"/>
          <w:b/>
          <w:sz w:val="32"/>
          <w:szCs w:val="32"/>
          <w:lang w:eastAsia="it-IT"/>
        </w:rPr>
      </w:pPr>
    </w:p>
    <w:p w:rsidR="009903C3" w:rsidRPr="00534ED2" w:rsidRDefault="009903C3" w:rsidP="007D1DFE">
      <w:pPr>
        <w:spacing w:line="240" w:lineRule="auto"/>
        <w:jc w:val="center"/>
        <w:rPr>
          <w:rFonts w:ascii="Times New Roman" w:eastAsia="Times New Roman" w:hAnsi="Times New Roman" w:cs="Times New Roman"/>
          <w:b/>
          <w:sz w:val="32"/>
          <w:szCs w:val="32"/>
          <w:lang w:eastAsia="it-IT"/>
        </w:rPr>
      </w:pPr>
    </w:p>
    <w:p w:rsidR="009903C3" w:rsidRPr="00534ED2" w:rsidRDefault="009903C3" w:rsidP="007D1DFE">
      <w:pPr>
        <w:spacing w:line="240" w:lineRule="auto"/>
        <w:jc w:val="center"/>
        <w:rPr>
          <w:rFonts w:ascii="Times New Roman" w:eastAsia="Times New Roman" w:hAnsi="Times New Roman" w:cs="Times New Roman"/>
          <w:b/>
          <w:sz w:val="32"/>
          <w:szCs w:val="32"/>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32"/>
          <w:szCs w:val="32"/>
          <w:lang w:eastAsia="it-IT"/>
        </w:rPr>
      </w:pPr>
      <w:r w:rsidRPr="007D1DFE">
        <w:rPr>
          <w:rFonts w:ascii="Times New Roman" w:eastAsia="Times New Roman" w:hAnsi="Times New Roman" w:cs="Times New Roman"/>
          <w:b/>
          <w:color w:val="2E74B5" w:themeColor="accent1" w:themeShade="BF"/>
          <w:sz w:val="32"/>
          <w:szCs w:val="32"/>
          <w:lang w:eastAsia="it-IT"/>
        </w:rPr>
        <w:t>CONSIGLIO REGIONALE DEL LAZIO</w:t>
      </w: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32"/>
          <w:szCs w:val="32"/>
          <w:lang w:eastAsia="it-IT"/>
        </w:rPr>
      </w:pPr>
      <w:r w:rsidRPr="007D1DFE">
        <w:rPr>
          <w:rFonts w:ascii="Times New Roman" w:eastAsia="Times New Roman" w:hAnsi="Times New Roman" w:cs="Times New Roman"/>
          <w:b/>
          <w:color w:val="2E74B5" w:themeColor="accent1" w:themeShade="BF"/>
          <w:sz w:val="32"/>
          <w:szCs w:val="32"/>
          <w:lang w:eastAsia="it-IT"/>
        </w:rPr>
        <w:t>PIANO TRIENNALE DI PREVENZIONE</w:t>
      </w: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32"/>
          <w:szCs w:val="32"/>
          <w:lang w:eastAsia="it-IT"/>
        </w:rPr>
      </w:pPr>
      <w:r w:rsidRPr="007D1DFE">
        <w:rPr>
          <w:rFonts w:ascii="Times New Roman" w:eastAsia="Times New Roman" w:hAnsi="Times New Roman" w:cs="Times New Roman"/>
          <w:b/>
          <w:color w:val="2E74B5" w:themeColor="accent1" w:themeShade="BF"/>
          <w:sz w:val="32"/>
          <w:szCs w:val="32"/>
          <w:lang w:eastAsia="it-IT"/>
        </w:rPr>
        <w:t>DELLA CORRUZIONE</w:t>
      </w:r>
      <w:r w:rsidR="002A713E" w:rsidRPr="007D1DFE">
        <w:rPr>
          <w:rFonts w:ascii="Times New Roman" w:eastAsia="Times New Roman" w:hAnsi="Times New Roman" w:cs="Times New Roman"/>
          <w:b/>
          <w:color w:val="2E74B5" w:themeColor="accent1" w:themeShade="BF"/>
          <w:sz w:val="32"/>
          <w:szCs w:val="32"/>
          <w:lang w:eastAsia="it-IT"/>
        </w:rPr>
        <w:t xml:space="preserve"> </w:t>
      </w: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32"/>
          <w:szCs w:val="32"/>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32"/>
          <w:szCs w:val="32"/>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color w:val="2E74B5" w:themeColor="accent1" w:themeShade="BF"/>
          <w:sz w:val="32"/>
          <w:szCs w:val="32"/>
          <w:lang w:eastAsia="it-IT"/>
        </w:rPr>
      </w:pPr>
      <w:r w:rsidRPr="007D1DFE">
        <w:rPr>
          <w:rFonts w:ascii="Times New Roman" w:eastAsia="Times New Roman" w:hAnsi="Times New Roman" w:cs="Times New Roman"/>
          <w:b/>
          <w:color w:val="2E74B5" w:themeColor="accent1" w:themeShade="BF"/>
          <w:sz w:val="32"/>
          <w:szCs w:val="32"/>
          <w:lang w:eastAsia="it-IT"/>
        </w:rPr>
        <w:t>201</w:t>
      </w:r>
      <w:r w:rsidR="00296C8A" w:rsidRPr="007D1DFE">
        <w:rPr>
          <w:rFonts w:ascii="Times New Roman" w:eastAsia="Times New Roman" w:hAnsi="Times New Roman" w:cs="Times New Roman"/>
          <w:b/>
          <w:color w:val="2E74B5" w:themeColor="accent1" w:themeShade="BF"/>
          <w:sz w:val="32"/>
          <w:szCs w:val="32"/>
          <w:lang w:eastAsia="it-IT"/>
        </w:rPr>
        <w:t>9</w:t>
      </w:r>
      <w:r w:rsidRPr="007D1DFE">
        <w:rPr>
          <w:rFonts w:ascii="Times New Roman" w:eastAsia="Times New Roman" w:hAnsi="Times New Roman" w:cs="Times New Roman"/>
          <w:b/>
          <w:color w:val="2E74B5" w:themeColor="accent1" w:themeShade="BF"/>
          <w:sz w:val="32"/>
          <w:szCs w:val="32"/>
          <w:lang w:eastAsia="it-IT"/>
        </w:rPr>
        <w:t>-20</w:t>
      </w:r>
      <w:r w:rsidR="00E31BD8" w:rsidRPr="007D1DFE">
        <w:rPr>
          <w:rFonts w:ascii="Times New Roman" w:eastAsia="Times New Roman" w:hAnsi="Times New Roman" w:cs="Times New Roman"/>
          <w:b/>
          <w:color w:val="2E74B5" w:themeColor="accent1" w:themeShade="BF"/>
          <w:sz w:val="32"/>
          <w:szCs w:val="32"/>
          <w:lang w:eastAsia="it-IT"/>
        </w:rPr>
        <w:t>2</w:t>
      </w:r>
      <w:r w:rsidR="00296C8A" w:rsidRPr="007D1DFE">
        <w:rPr>
          <w:rFonts w:ascii="Times New Roman" w:eastAsia="Times New Roman" w:hAnsi="Times New Roman" w:cs="Times New Roman"/>
          <w:b/>
          <w:color w:val="2E74B5" w:themeColor="accent1" w:themeShade="BF"/>
          <w:sz w:val="32"/>
          <w:szCs w:val="32"/>
          <w:lang w:eastAsia="it-IT"/>
        </w:rPr>
        <w:t>1</w:t>
      </w: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F16041" w:rsidRPr="007D1DFE" w:rsidRDefault="00F16041"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36"/>
          <w:szCs w:val="36"/>
          <w:lang w:eastAsia="it-IT"/>
        </w:rPr>
      </w:pPr>
    </w:p>
    <w:p w:rsidR="00403753" w:rsidRPr="007D1DFE" w:rsidRDefault="00403753" w:rsidP="007D1DFE">
      <w:pPr>
        <w:spacing w:line="240" w:lineRule="auto"/>
        <w:jc w:val="center"/>
        <w:rPr>
          <w:rFonts w:ascii="Times New Roman" w:eastAsia="Times New Roman" w:hAnsi="Times New Roman" w:cs="Times New Roman"/>
          <w:b/>
          <w:sz w:val="36"/>
          <w:szCs w:val="36"/>
          <w:lang w:eastAsia="it-IT"/>
        </w:rPr>
      </w:pPr>
    </w:p>
    <w:p w:rsidR="00403753" w:rsidRPr="007D1DFE" w:rsidRDefault="00403753" w:rsidP="007D1DFE">
      <w:pPr>
        <w:spacing w:line="240" w:lineRule="auto"/>
        <w:jc w:val="center"/>
        <w:rPr>
          <w:rFonts w:ascii="Times New Roman" w:eastAsia="Times New Roman" w:hAnsi="Times New Roman" w:cs="Times New Roman"/>
          <w:b/>
          <w:sz w:val="36"/>
          <w:szCs w:val="36"/>
          <w:lang w:eastAsia="it-IT"/>
        </w:rPr>
      </w:pPr>
    </w:p>
    <w:p w:rsidR="00DD6B0B" w:rsidRPr="007D1DFE" w:rsidRDefault="00DD6B0B" w:rsidP="007D1DFE">
      <w:pPr>
        <w:spacing w:line="240" w:lineRule="auto"/>
        <w:jc w:val="center"/>
        <w:rPr>
          <w:rFonts w:ascii="Times New Roman" w:eastAsia="Times New Roman" w:hAnsi="Times New Roman" w:cs="Times New Roman"/>
          <w:b/>
          <w:sz w:val="36"/>
          <w:szCs w:val="36"/>
          <w:lang w:eastAsia="it-IT"/>
        </w:rPr>
      </w:pPr>
    </w:p>
    <w:p w:rsidR="009903C3" w:rsidRPr="007D1DFE" w:rsidRDefault="009903C3" w:rsidP="007D1DFE">
      <w:pPr>
        <w:spacing w:line="240" w:lineRule="auto"/>
        <w:jc w:val="center"/>
        <w:rPr>
          <w:rFonts w:ascii="Times New Roman" w:eastAsia="Times New Roman" w:hAnsi="Times New Roman" w:cs="Times New Roman"/>
          <w:b/>
          <w:sz w:val="36"/>
          <w:szCs w:val="36"/>
          <w:lang w:eastAsia="it-IT"/>
        </w:rPr>
      </w:pPr>
      <w:r w:rsidRPr="007D1DFE">
        <w:rPr>
          <w:rFonts w:ascii="Times New Roman" w:eastAsia="Times New Roman" w:hAnsi="Times New Roman" w:cs="Times New Roman"/>
          <w:b/>
          <w:sz w:val="36"/>
          <w:szCs w:val="36"/>
          <w:lang w:eastAsia="it-IT"/>
        </w:rPr>
        <w:lastRenderedPageBreak/>
        <w:t>Indice</w:t>
      </w:r>
    </w:p>
    <w:p w:rsidR="009903C3" w:rsidRPr="007D1DFE" w:rsidRDefault="009903C3" w:rsidP="007D1DFE">
      <w:pPr>
        <w:spacing w:line="240" w:lineRule="auto"/>
        <w:jc w:val="center"/>
        <w:rPr>
          <w:rFonts w:ascii="Times New Roman" w:eastAsia="Times New Roman" w:hAnsi="Times New Roman" w:cs="Times New Roman"/>
          <w:b/>
          <w:sz w:val="36"/>
          <w:szCs w:val="36"/>
          <w:lang w:eastAsia="it-IT"/>
        </w:rPr>
      </w:pPr>
    </w:p>
    <w:p w:rsidR="009903C3" w:rsidRPr="007D1DFE" w:rsidRDefault="009903C3" w:rsidP="007D1DFE">
      <w:pPr>
        <w:spacing w:line="240" w:lineRule="auto"/>
        <w:jc w:val="center"/>
        <w:rPr>
          <w:rFonts w:ascii="Times New Roman" w:eastAsia="Times New Roman" w:hAnsi="Times New Roman" w:cs="Times New Roman"/>
          <w:b/>
          <w:sz w:val="26"/>
          <w:szCs w:val="26"/>
          <w:lang w:eastAsia="it-IT"/>
        </w:rPr>
      </w:pPr>
    </w:p>
    <w:p w:rsidR="009903C3" w:rsidRPr="007D1DFE" w:rsidRDefault="009903C3" w:rsidP="007D1DFE">
      <w:pPr>
        <w:spacing w:line="240" w:lineRule="auto"/>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Introduzione</w:t>
      </w:r>
    </w:p>
    <w:p w:rsidR="009903C3" w:rsidRPr="007D1DFE" w:rsidRDefault="009903C3" w:rsidP="007D1DFE">
      <w:pPr>
        <w:spacing w:line="240" w:lineRule="auto"/>
        <w:rPr>
          <w:rFonts w:ascii="Times New Roman" w:eastAsia="Times New Roman" w:hAnsi="Times New Roman" w:cs="Times New Roman"/>
          <w:b/>
          <w:sz w:val="24"/>
          <w:szCs w:val="24"/>
          <w:lang w:eastAsia="it-IT"/>
        </w:rPr>
      </w:pPr>
    </w:p>
    <w:p w:rsidR="009903C3" w:rsidRPr="007D1DFE" w:rsidRDefault="009903C3" w:rsidP="007D1DFE">
      <w:pPr>
        <w:numPr>
          <w:ilvl w:val="1"/>
          <w:numId w:val="18"/>
        </w:numPr>
        <w:spacing w:line="240" w:lineRule="auto"/>
        <w:contextualSpacing/>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Il contesto normativo nazionale di riferimento</w:t>
      </w:r>
    </w:p>
    <w:p w:rsidR="009903C3" w:rsidRPr="007D1DFE" w:rsidRDefault="009903C3" w:rsidP="007D1DFE">
      <w:pPr>
        <w:numPr>
          <w:ilvl w:val="1"/>
          <w:numId w:val="18"/>
        </w:numPr>
        <w:spacing w:line="240" w:lineRule="auto"/>
        <w:contextualSpacing/>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Il contesto </w:t>
      </w:r>
      <w:r w:rsidR="001B1B94" w:rsidRPr="007D1DFE">
        <w:rPr>
          <w:rFonts w:ascii="Times New Roman" w:eastAsia="Times New Roman" w:hAnsi="Times New Roman" w:cs="Times New Roman"/>
          <w:b/>
          <w:sz w:val="24"/>
          <w:szCs w:val="24"/>
          <w:lang w:eastAsia="it-IT"/>
        </w:rPr>
        <w:t xml:space="preserve">demografico e </w:t>
      </w:r>
      <w:r w:rsidRPr="007D1DFE">
        <w:rPr>
          <w:rFonts w:ascii="Times New Roman" w:eastAsia="Times New Roman" w:hAnsi="Times New Roman" w:cs="Times New Roman"/>
          <w:b/>
          <w:sz w:val="24"/>
          <w:szCs w:val="24"/>
          <w:lang w:eastAsia="it-IT"/>
        </w:rPr>
        <w:t>socio economico</w:t>
      </w:r>
    </w:p>
    <w:p w:rsidR="009903C3" w:rsidRPr="007D1DFE" w:rsidRDefault="009903C3" w:rsidP="007D1DFE">
      <w:pPr>
        <w:numPr>
          <w:ilvl w:val="1"/>
          <w:numId w:val="18"/>
        </w:numPr>
        <w:spacing w:line="240" w:lineRule="auto"/>
        <w:contextualSpacing/>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La presenza nel territorio di fenomeni di illegalità economica e di criminalità organizzata </w:t>
      </w:r>
    </w:p>
    <w:p w:rsidR="009903C3" w:rsidRPr="007D1DFE" w:rsidRDefault="009903C3" w:rsidP="007D1DFE">
      <w:pPr>
        <w:numPr>
          <w:ilvl w:val="1"/>
          <w:numId w:val="18"/>
        </w:numPr>
        <w:spacing w:after="24" w:line="240" w:lineRule="atLeast"/>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Il contesto organizzativo del Consiglio regionale del Lazio</w:t>
      </w:r>
    </w:p>
    <w:p w:rsidR="00896E6B" w:rsidRPr="007D1DFE" w:rsidRDefault="00896E6B" w:rsidP="007D1DFE">
      <w:pPr>
        <w:spacing w:line="240" w:lineRule="auto"/>
        <w:rPr>
          <w:rFonts w:ascii="Times New Roman" w:eastAsia="Times New Roman" w:hAnsi="Times New Roman" w:cs="Times New Roman"/>
          <w:b/>
          <w:sz w:val="24"/>
          <w:szCs w:val="24"/>
          <w:lang w:eastAsia="it-IT"/>
        </w:rPr>
      </w:pPr>
    </w:p>
    <w:p w:rsidR="009903C3" w:rsidRPr="007D1DFE" w:rsidRDefault="009903C3" w:rsidP="007D1DFE">
      <w:pPr>
        <w:spacing w:line="240" w:lineRule="auto"/>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Sezione I</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PIANO TRIENNALE DI PREVENZIONE DELLA CORRUZIONE</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2.1. </w:t>
      </w:r>
      <w:r w:rsidRPr="007D1DFE">
        <w:rPr>
          <w:rFonts w:ascii="Times New Roman" w:eastAsia="Times New Roman" w:hAnsi="Times New Roman" w:cs="Times New Roman"/>
          <w:b/>
          <w:sz w:val="24"/>
          <w:szCs w:val="24"/>
          <w:lang w:eastAsia="it-IT"/>
        </w:rPr>
        <w:tab/>
        <w:t xml:space="preserve">Gli obiettivi, i contenuti e il percorso per la sua definizione.  </w:t>
      </w:r>
    </w:p>
    <w:p w:rsidR="009903C3" w:rsidRPr="007D1DFE" w:rsidRDefault="009903C3" w:rsidP="007D1DFE">
      <w:pPr>
        <w:spacing w:line="240" w:lineRule="auto"/>
        <w:ind w:left="1413" w:hanging="705"/>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2.2.</w:t>
      </w:r>
      <w:r w:rsidRPr="007D1DFE">
        <w:rPr>
          <w:rFonts w:ascii="Times New Roman" w:eastAsia="Times New Roman" w:hAnsi="Times New Roman" w:cs="Times New Roman"/>
          <w:b/>
          <w:sz w:val="24"/>
          <w:szCs w:val="24"/>
          <w:lang w:eastAsia="it-IT"/>
        </w:rPr>
        <w:tab/>
        <w:t>Il P</w:t>
      </w:r>
      <w:r w:rsidR="00896E6B" w:rsidRPr="007D1DFE">
        <w:rPr>
          <w:rFonts w:ascii="Times New Roman" w:eastAsia="Times New Roman" w:hAnsi="Times New Roman" w:cs="Times New Roman"/>
          <w:b/>
          <w:sz w:val="24"/>
          <w:szCs w:val="24"/>
          <w:lang w:eastAsia="it-IT"/>
        </w:rPr>
        <w:t xml:space="preserve">iano </w:t>
      </w:r>
      <w:proofErr w:type="spellStart"/>
      <w:r w:rsidR="00896E6B" w:rsidRPr="007D1DFE">
        <w:rPr>
          <w:rFonts w:ascii="Times New Roman" w:eastAsia="Times New Roman" w:hAnsi="Times New Roman" w:cs="Times New Roman"/>
          <w:b/>
          <w:sz w:val="24"/>
          <w:szCs w:val="24"/>
          <w:lang w:eastAsia="it-IT"/>
        </w:rPr>
        <w:t>riennale</w:t>
      </w:r>
      <w:proofErr w:type="spellEnd"/>
      <w:r w:rsidR="00896E6B" w:rsidRPr="007D1DFE">
        <w:rPr>
          <w:rFonts w:ascii="Times New Roman" w:eastAsia="Times New Roman" w:hAnsi="Times New Roman" w:cs="Times New Roman"/>
          <w:b/>
          <w:sz w:val="24"/>
          <w:szCs w:val="24"/>
          <w:lang w:eastAsia="it-IT"/>
        </w:rPr>
        <w:t xml:space="preserve"> di prevenzione della corruzione (PTPC)</w:t>
      </w:r>
      <w:r w:rsidRPr="007D1DFE">
        <w:rPr>
          <w:rFonts w:ascii="Times New Roman" w:eastAsia="Times New Roman" w:hAnsi="Times New Roman" w:cs="Times New Roman"/>
          <w:b/>
          <w:sz w:val="24"/>
          <w:szCs w:val="24"/>
          <w:lang w:eastAsia="it-IT"/>
        </w:rPr>
        <w:t xml:space="preserve"> elemento costitutivo del ciclo di gestione delle prestazioni e dei risultati</w:t>
      </w:r>
    </w:p>
    <w:p w:rsidR="009903C3" w:rsidRPr="007D1DFE" w:rsidRDefault="009903C3" w:rsidP="007D1DFE">
      <w:pPr>
        <w:spacing w:line="240" w:lineRule="auto"/>
        <w:ind w:left="1413" w:hanging="705"/>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2.3. </w:t>
      </w:r>
      <w:r w:rsidRPr="007D1DFE">
        <w:rPr>
          <w:rFonts w:ascii="Times New Roman" w:eastAsia="Times New Roman" w:hAnsi="Times New Roman" w:cs="Times New Roman"/>
          <w:b/>
          <w:sz w:val="24"/>
          <w:szCs w:val="24"/>
          <w:lang w:eastAsia="it-IT"/>
        </w:rPr>
        <w:tab/>
        <w:t xml:space="preserve">I soggetti coinvolti nella predisposizione, approvazione ed attuazione del </w:t>
      </w:r>
      <w:r w:rsidR="00896E6B" w:rsidRPr="007D1DFE">
        <w:rPr>
          <w:rFonts w:ascii="Times New Roman" w:eastAsia="Times New Roman" w:hAnsi="Times New Roman" w:cs="Times New Roman"/>
          <w:b/>
          <w:sz w:val="24"/>
          <w:szCs w:val="24"/>
          <w:lang w:eastAsia="it-IT"/>
        </w:rPr>
        <w:t>PTPC</w:t>
      </w:r>
    </w:p>
    <w:p w:rsidR="009903C3" w:rsidRPr="007D1DFE" w:rsidRDefault="00896E6B" w:rsidP="007D1DFE">
      <w:pPr>
        <w:spacing w:line="240" w:lineRule="auto"/>
        <w:ind w:firstLine="708"/>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2.3.1.  </w:t>
      </w:r>
      <w:r w:rsidRPr="007D1DFE">
        <w:rPr>
          <w:rFonts w:ascii="Times New Roman" w:eastAsia="Times New Roman" w:hAnsi="Times New Roman" w:cs="Times New Roman"/>
          <w:b/>
          <w:sz w:val="24"/>
          <w:szCs w:val="24"/>
          <w:lang w:eastAsia="it-IT"/>
        </w:rPr>
        <w:tab/>
        <w:t>L’Ufficio di p</w:t>
      </w:r>
      <w:r w:rsidR="009903C3" w:rsidRPr="007D1DFE">
        <w:rPr>
          <w:rFonts w:ascii="Times New Roman" w:eastAsia="Times New Roman" w:hAnsi="Times New Roman" w:cs="Times New Roman"/>
          <w:b/>
          <w:sz w:val="24"/>
          <w:szCs w:val="24"/>
          <w:lang w:eastAsia="it-IT"/>
        </w:rPr>
        <w:t>residenza</w:t>
      </w:r>
    </w:p>
    <w:p w:rsidR="009903C3" w:rsidRPr="007D1DFE" w:rsidRDefault="00896E6B"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2.3.2.</w:t>
      </w:r>
      <w:r w:rsidRPr="007D1DFE">
        <w:rPr>
          <w:rFonts w:ascii="Times New Roman" w:eastAsia="Times New Roman" w:hAnsi="Times New Roman" w:cs="Times New Roman"/>
          <w:b/>
          <w:sz w:val="24"/>
          <w:szCs w:val="24"/>
          <w:lang w:eastAsia="it-IT"/>
        </w:rPr>
        <w:tab/>
        <w:t>Il Responsabile della P</w:t>
      </w:r>
      <w:r w:rsidR="009903C3" w:rsidRPr="007D1DFE">
        <w:rPr>
          <w:rFonts w:ascii="Times New Roman" w:eastAsia="Times New Roman" w:hAnsi="Times New Roman" w:cs="Times New Roman"/>
          <w:b/>
          <w:sz w:val="24"/>
          <w:szCs w:val="24"/>
          <w:lang w:eastAsia="it-IT"/>
        </w:rPr>
        <w:t>revenzione della corruzione</w:t>
      </w:r>
      <w:r w:rsidRPr="007D1DFE">
        <w:rPr>
          <w:rFonts w:ascii="Times New Roman" w:eastAsia="Times New Roman" w:hAnsi="Times New Roman" w:cs="Times New Roman"/>
          <w:b/>
          <w:sz w:val="24"/>
          <w:szCs w:val="24"/>
          <w:lang w:eastAsia="it-IT"/>
        </w:rPr>
        <w:t>, Trasparenza (RPCT)</w:t>
      </w:r>
    </w:p>
    <w:p w:rsidR="009903C3" w:rsidRPr="007D1DFE" w:rsidRDefault="00896E6B" w:rsidP="007D1DFE">
      <w:pPr>
        <w:numPr>
          <w:ilvl w:val="2"/>
          <w:numId w:val="14"/>
        </w:num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La d</w:t>
      </w:r>
      <w:r w:rsidR="009903C3" w:rsidRPr="007D1DFE">
        <w:rPr>
          <w:rFonts w:ascii="Times New Roman" w:eastAsia="Times New Roman" w:hAnsi="Times New Roman" w:cs="Times New Roman"/>
          <w:b/>
          <w:sz w:val="24"/>
          <w:szCs w:val="24"/>
          <w:lang w:eastAsia="it-IT"/>
        </w:rPr>
        <w:t>irigenza</w:t>
      </w:r>
    </w:p>
    <w:p w:rsidR="009903C3" w:rsidRPr="007D1DFE" w:rsidRDefault="00896E6B" w:rsidP="007D1DFE">
      <w:pPr>
        <w:numPr>
          <w:ilvl w:val="2"/>
          <w:numId w:val="14"/>
        </w:num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 r</w:t>
      </w:r>
      <w:r w:rsidR="009903C3" w:rsidRPr="007D1DFE">
        <w:rPr>
          <w:rFonts w:ascii="Times New Roman" w:eastAsia="Times New Roman" w:hAnsi="Times New Roman" w:cs="Times New Roman"/>
          <w:b/>
          <w:sz w:val="24"/>
          <w:szCs w:val="24"/>
          <w:lang w:eastAsia="it-IT"/>
        </w:rPr>
        <w:t>eferenti</w:t>
      </w:r>
    </w:p>
    <w:p w:rsidR="009903C3" w:rsidRPr="007D1DFE" w:rsidRDefault="009903C3" w:rsidP="007D1DFE">
      <w:pPr>
        <w:numPr>
          <w:ilvl w:val="2"/>
          <w:numId w:val="14"/>
        </w:num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L’Organismo Indipendente di Valutazione (</w:t>
      </w:r>
      <w:r w:rsidR="00896E6B" w:rsidRPr="007D1DFE">
        <w:rPr>
          <w:rFonts w:ascii="Times New Roman" w:eastAsia="Times New Roman" w:hAnsi="Times New Roman" w:cs="Times New Roman"/>
          <w:b/>
          <w:sz w:val="24"/>
          <w:szCs w:val="24"/>
          <w:lang w:eastAsia="it-IT"/>
        </w:rPr>
        <w:t>OIV</w:t>
      </w:r>
      <w:r w:rsidRPr="007D1DFE">
        <w:rPr>
          <w:rFonts w:ascii="Times New Roman" w:eastAsia="Times New Roman" w:hAnsi="Times New Roman" w:cs="Times New Roman"/>
          <w:b/>
          <w:sz w:val="24"/>
          <w:szCs w:val="24"/>
          <w:lang w:eastAsia="it-IT"/>
        </w:rPr>
        <w:t>)</w:t>
      </w:r>
    </w:p>
    <w:p w:rsidR="009903C3" w:rsidRPr="007D1DFE" w:rsidRDefault="00896E6B" w:rsidP="007D1DFE">
      <w:pPr>
        <w:numPr>
          <w:ilvl w:val="2"/>
          <w:numId w:val="14"/>
        </w:num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La s</w:t>
      </w:r>
      <w:r w:rsidR="009903C3" w:rsidRPr="007D1DFE">
        <w:rPr>
          <w:rFonts w:ascii="Times New Roman" w:eastAsia="Times New Roman" w:hAnsi="Times New Roman" w:cs="Times New Roman"/>
          <w:b/>
          <w:sz w:val="24"/>
          <w:szCs w:val="24"/>
          <w:lang w:eastAsia="it-IT"/>
        </w:rPr>
        <w:t>truttura competente per i procedimenti disciplinari</w:t>
      </w:r>
    </w:p>
    <w:p w:rsidR="009903C3" w:rsidRPr="007D1DFE" w:rsidRDefault="009903C3" w:rsidP="007D1DFE">
      <w:pPr>
        <w:numPr>
          <w:ilvl w:val="2"/>
          <w:numId w:val="14"/>
        </w:numPr>
        <w:spacing w:line="240" w:lineRule="auto"/>
        <w:contextualSpacing/>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Il Responsabile dell’Anagrafe della Stazione Appaltante (RASA)</w:t>
      </w:r>
    </w:p>
    <w:p w:rsidR="009903C3" w:rsidRPr="007D1DFE" w:rsidRDefault="00896E6B" w:rsidP="007D1DFE">
      <w:pPr>
        <w:numPr>
          <w:ilvl w:val="2"/>
          <w:numId w:val="14"/>
        </w:numPr>
        <w:spacing w:line="240" w:lineRule="auto"/>
        <w:contextualSpacing/>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Il p</w:t>
      </w:r>
      <w:r w:rsidR="009903C3" w:rsidRPr="007D1DFE">
        <w:rPr>
          <w:rFonts w:ascii="Times New Roman" w:eastAsia="Times New Roman" w:hAnsi="Times New Roman" w:cs="Times New Roman"/>
          <w:b/>
          <w:sz w:val="24"/>
          <w:szCs w:val="24"/>
          <w:lang w:eastAsia="it-IT"/>
        </w:rPr>
        <w:t xml:space="preserve">ersonale del Consiglio regionale  </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2.3.9.</w:t>
      </w:r>
      <w:r w:rsidRPr="007D1DFE">
        <w:rPr>
          <w:rFonts w:ascii="Times New Roman" w:eastAsia="Times New Roman" w:hAnsi="Times New Roman" w:cs="Times New Roman"/>
          <w:b/>
          <w:sz w:val="24"/>
          <w:szCs w:val="24"/>
          <w:lang w:eastAsia="it-IT"/>
        </w:rPr>
        <w:tab/>
        <w:t>I collaboratori a qualsiasi titolo dell’amministrazione</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2.4.  </w:t>
      </w:r>
      <w:r w:rsidRPr="007D1DFE">
        <w:rPr>
          <w:rFonts w:ascii="Times New Roman" w:eastAsia="Times New Roman" w:hAnsi="Times New Roman" w:cs="Times New Roman"/>
          <w:b/>
          <w:sz w:val="24"/>
          <w:szCs w:val="24"/>
          <w:lang w:eastAsia="it-IT"/>
        </w:rPr>
        <w:tab/>
        <w:t xml:space="preserve">La </w:t>
      </w:r>
      <w:r w:rsidR="00896E6B" w:rsidRPr="007D1DFE">
        <w:rPr>
          <w:rFonts w:ascii="Times New Roman" w:eastAsia="Times New Roman" w:hAnsi="Times New Roman" w:cs="Times New Roman"/>
          <w:b/>
          <w:sz w:val="24"/>
          <w:szCs w:val="24"/>
          <w:lang w:eastAsia="it-IT"/>
        </w:rPr>
        <w:t>g</w:t>
      </w:r>
      <w:r w:rsidRPr="007D1DFE">
        <w:rPr>
          <w:rFonts w:ascii="Times New Roman" w:eastAsia="Times New Roman" w:hAnsi="Times New Roman" w:cs="Times New Roman"/>
          <w:b/>
          <w:sz w:val="24"/>
          <w:szCs w:val="24"/>
          <w:lang w:eastAsia="it-IT"/>
        </w:rPr>
        <w:t>estione del rischio</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w:t>
      </w:r>
      <w:r w:rsidRPr="007D1DFE">
        <w:rPr>
          <w:rFonts w:ascii="Times New Roman" w:eastAsia="Times New Roman" w:hAnsi="Times New Roman" w:cs="Times New Roman"/>
          <w:b/>
          <w:sz w:val="24"/>
          <w:szCs w:val="24"/>
          <w:lang w:eastAsia="it-IT"/>
        </w:rPr>
        <w:tab/>
        <w:t>Le attività e le misure di prevenzione da adottare in generale</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2.5.1.</w:t>
      </w:r>
      <w:r w:rsidRPr="007D1DFE">
        <w:rPr>
          <w:rFonts w:ascii="Times New Roman" w:eastAsia="Times New Roman" w:hAnsi="Times New Roman" w:cs="Times New Roman"/>
          <w:b/>
          <w:sz w:val="24"/>
          <w:szCs w:val="24"/>
          <w:lang w:eastAsia="it-IT"/>
        </w:rPr>
        <w:tab/>
        <w:t>Il Codice di comportamento</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2.5.2.</w:t>
      </w:r>
      <w:r w:rsidRPr="007D1DFE">
        <w:rPr>
          <w:rFonts w:ascii="Times New Roman" w:eastAsia="Times New Roman" w:hAnsi="Times New Roman" w:cs="Times New Roman"/>
          <w:b/>
          <w:sz w:val="24"/>
          <w:szCs w:val="24"/>
          <w:lang w:eastAsia="it-IT"/>
        </w:rPr>
        <w:tab/>
        <w:t>Formazione</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2.5.3. </w:t>
      </w:r>
      <w:r w:rsidRPr="007D1DFE">
        <w:rPr>
          <w:rFonts w:ascii="Times New Roman" w:eastAsia="Times New Roman" w:hAnsi="Times New Roman" w:cs="Times New Roman"/>
          <w:b/>
          <w:sz w:val="24"/>
          <w:szCs w:val="24"/>
          <w:lang w:eastAsia="it-IT"/>
        </w:rPr>
        <w:tab/>
        <w:t>Obbligo di astensione in caso di conflitto di interesse</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2.5.4.</w:t>
      </w:r>
      <w:r w:rsidRPr="007D1DFE">
        <w:rPr>
          <w:rFonts w:ascii="Times New Roman" w:eastAsia="Times New Roman" w:hAnsi="Times New Roman" w:cs="Times New Roman"/>
          <w:b/>
          <w:sz w:val="24"/>
          <w:szCs w:val="24"/>
          <w:lang w:eastAsia="it-IT"/>
        </w:rPr>
        <w:tab/>
        <w:t>Rotazione del personale</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2.5.5. </w:t>
      </w:r>
      <w:r w:rsidRPr="007D1DFE">
        <w:rPr>
          <w:rFonts w:ascii="Times New Roman" w:eastAsia="Times New Roman" w:hAnsi="Times New Roman" w:cs="Times New Roman"/>
          <w:b/>
          <w:sz w:val="24"/>
          <w:szCs w:val="24"/>
          <w:lang w:eastAsia="it-IT"/>
        </w:rPr>
        <w:tab/>
        <w:t>Incarichi vietati ai dipendenti</w:t>
      </w:r>
    </w:p>
    <w:p w:rsidR="009903C3" w:rsidRPr="007D1DFE" w:rsidRDefault="00896E6B"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2.5.6.</w:t>
      </w:r>
      <w:r w:rsidRPr="007D1DFE">
        <w:rPr>
          <w:rFonts w:ascii="Times New Roman" w:eastAsia="Times New Roman" w:hAnsi="Times New Roman" w:cs="Times New Roman"/>
          <w:b/>
          <w:sz w:val="24"/>
          <w:szCs w:val="24"/>
          <w:lang w:eastAsia="it-IT"/>
        </w:rPr>
        <w:tab/>
        <w:t>Inconferibilità e</w:t>
      </w:r>
      <w:r w:rsidR="009903C3" w:rsidRPr="007D1DFE">
        <w:rPr>
          <w:rFonts w:ascii="Times New Roman" w:eastAsia="Times New Roman" w:hAnsi="Times New Roman" w:cs="Times New Roman"/>
          <w:b/>
          <w:sz w:val="24"/>
          <w:szCs w:val="24"/>
          <w:lang w:eastAsia="it-IT"/>
        </w:rPr>
        <w:t xml:space="preserve"> incompatibilità di incarichi</w:t>
      </w:r>
    </w:p>
    <w:p w:rsidR="00896E6B"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2.5.7.</w:t>
      </w:r>
      <w:r w:rsidRPr="007D1DFE">
        <w:rPr>
          <w:rFonts w:ascii="Times New Roman" w:eastAsia="Times New Roman" w:hAnsi="Times New Roman" w:cs="Times New Roman"/>
          <w:b/>
          <w:sz w:val="24"/>
          <w:szCs w:val="24"/>
          <w:lang w:eastAsia="it-IT"/>
        </w:rPr>
        <w:tab/>
      </w:r>
      <w:r w:rsidR="00896E6B" w:rsidRPr="007D1DFE">
        <w:rPr>
          <w:rFonts w:ascii="Times New Roman" w:eastAsia="Times New Roman" w:hAnsi="Times New Roman" w:cs="Times New Roman"/>
          <w:b/>
          <w:bCs/>
          <w:sz w:val="24"/>
          <w:szCs w:val="24"/>
          <w:lang w:eastAsia="it-IT"/>
        </w:rPr>
        <w:t>Inconferibilità e</w:t>
      </w:r>
      <w:r w:rsidRPr="007D1DFE">
        <w:rPr>
          <w:rFonts w:ascii="Times New Roman" w:eastAsia="Times New Roman" w:hAnsi="Times New Roman" w:cs="Times New Roman"/>
          <w:b/>
          <w:bCs/>
          <w:sz w:val="24"/>
          <w:szCs w:val="24"/>
          <w:lang w:eastAsia="it-IT"/>
        </w:rPr>
        <w:t xml:space="preserve"> incompatibilità per nomine o atti elettivi di competenza del </w:t>
      </w: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
          <w:bCs/>
          <w:sz w:val="24"/>
          <w:szCs w:val="24"/>
          <w:lang w:eastAsia="it-IT"/>
        </w:rPr>
        <w:tab/>
        <w:t>Consiglio</w:t>
      </w:r>
      <w:r w:rsidRPr="007D1DFE">
        <w:rPr>
          <w:rFonts w:ascii="Times New Roman" w:eastAsia="Times New Roman" w:hAnsi="Times New Roman" w:cs="Times New Roman"/>
          <w:b/>
          <w:sz w:val="24"/>
          <w:szCs w:val="24"/>
          <w:lang w:eastAsia="it-IT"/>
        </w:rPr>
        <w:t xml:space="preserve"> </w:t>
      </w:r>
      <w:r w:rsidR="00896E6B" w:rsidRPr="007D1DFE">
        <w:rPr>
          <w:rFonts w:ascii="Times New Roman" w:eastAsia="Times New Roman" w:hAnsi="Times New Roman" w:cs="Times New Roman"/>
          <w:b/>
          <w:sz w:val="24"/>
          <w:szCs w:val="24"/>
          <w:lang w:eastAsia="it-IT"/>
        </w:rPr>
        <w:t>regionale</w:t>
      </w:r>
    </w:p>
    <w:p w:rsidR="009903C3" w:rsidRPr="007D1DFE" w:rsidRDefault="009903C3" w:rsidP="007D1DFE">
      <w:pPr>
        <w:spacing w:line="240" w:lineRule="auto"/>
        <w:ind w:left="1413" w:hanging="705"/>
        <w:jc w:val="both"/>
        <w:rPr>
          <w:rFonts w:ascii="BookmanOldStyle-Italic" w:eastAsia="Times New Roman" w:hAnsi="BookmanOldStyle-Italic" w:cs="BookmanOldStyle-Italic"/>
          <w:iCs/>
          <w:sz w:val="24"/>
          <w:szCs w:val="24"/>
          <w:lang w:eastAsia="it-IT"/>
        </w:rPr>
      </w:pPr>
      <w:r w:rsidRPr="007D1DFE">
        <w:rPr>
          <w:rFonts w:ascii="Times New Roman" w:eastAsia="Times New Roman" w:hAnsi="Times New Roman" w:cs="Times New Roman"/>
          <w:b/>
          <w:sz w:val="24"/>
          <w:szCs w:val="24"/>
          <w:lang w:eastAsia="it-IT"/>
        </w:rPr>
        <w:t>2.5.8.</w:t>
      </w:r>
      <w:r w:rsidRPr="007D1DFE">
        <w:rPr>
          <w:rFonts w:ascii="Times New Roman" w:eastAsia="Times New Roman" w:hAnsi="Times New Roman" w:cs="Times New Roman"/>
          <w:b/>
          <w:sz w:val="24"/>
          <w:szCs w:val="24"/>
          <w:lang w:eastAsia="it-IT"/>
        </w:rPr>
        <w:tab/>
      </w:r>
      <w:r w:rsidR="00A458E0" w:rsidRPr="007D1DFE">
        <w:rPr>
          <w:rFonts w:ascii="Times New Roman" w:eastAsia="Times New Roman" w:hAnsi="Times New Roman" w:cs="Times New Roman"/>
          <w:b/>
          <w:sz w:val="24"/>
          <w:szCs w:val="24"/>
          <w:lang w:eastAsia="it-IT"/>
        </w:rPr>
        <w:t>Divieto di s</w:t>
      </w:r>
      <w:r w:rsidRPr="007D1DFE">
        <w:rPr>
          <w:rFonts w:ascii="Times New Roman" w:eastAsia="Times New Roman" w:hAnsi="Times New Roman" w:cs="Times New Roman"/>
          <w:b/>
          <w:sz w:val="24"/>
          <w:szCs w:val="24"/>
          <w:lang w:eastAsia="it-IT"/>
        </w:rPr>
        <w:t xml:space="preserve">volgimento di attività successive alla cessazione del rapporto di lavoro </w:t>
      </w:r>
      <w:r w:rsidR="00A458E0" w:rsidRPr="007D1DFE">
        <w:rPr>
          <w:rFonts w:ascii="Times New Roman" w:eastAsia="Times New Roman" w:hAnsi="Times New Roman" w:cs="Times New Roman"/>
          <w:b/>
          <w:sz w:val="24"/>
          <w:szCs w:val="24"/>
          <w:lang w:eastAsia="it-IT"/>
        </w:rPr>
        <w:t>ex art. 53 co</w:t>
      </w:r>
      <w:r w:rsidR="000B05B9" w:rsidRPr="007D1DFE">
        <w:rPr>
          <w:rFonts w:ascii="Times New Roman" w:eastAsia="Times New Roman" w:hAnsi="Times New Roman" w:cs="Times New Roman"/>
          <w:b/>
          <w:sz w:val="24"/>
          <w:szCs w:val="24"/>
          <w:lang w:eastAsia="it-IT"/>
        </w:rPr>
        <w:t>.</w:t>
      </w:r>
      <w:r w:rsidR="00A458E0" w:rsidRPr="007D1DFE">
        <w:rPr>
          <w:rFonts w:ascii="Times New Roman" w:eastAsia="Times New Roman" w:hAnsi="Times New Roman" w:cs="Times New Roman"/>
          <w:b/>
          <w:sz w:val="24"/>
          <w:szCs w:val="24"/>
          <w:lang w:eastAsia="it-IT"/>
        </w:rPr>
        <w:t xml:space="preserve"> 16 ter del d.lgs. 165/2001 (cd. divieto di </w:t>
      </w:r>
      <w:proofErr w:type="spellStart"/>
      <w:r w:rsidR="00A458E0" w:rsidRPr="007D1DFE">
        <w:rPr>
          <w:rFonts w:ascii="Times New Roman" w:eastAsia="Times New Roman" w:hAnsi="Times New Roman" w:cs="Times New Roman"/>
          <w:b/>
          <w:sz w:val="24"/>
          <w:szCs w:val="24"/>
          <w:lang w:eastAsia="it-IT"/>
        </w:rPr>
        <w:t>pantouflage</w:t>
      </w:r>
      <w:proofErr w:type="spellEnd"/>
      <w:r w:rsidR="00A458E0" w:rsidRPr="007D1DFE">
        <w:rPr>
          <w:rFonts w:ascii="Times New Roman" w:eastAsia="Times New Roman" w:hAnsi="Times New Roman" w:cs="Times New Roman"/>
          <w:b/>
          <w:sz w:val="24"/>
          <w:szCs w:val="24"/>
          <w:lang w:eastAsia="it-IT"/>
        </w:rPr>
        <w:t>)</w:t>
      </w:r>
    </w:p>
    <w:p w:rsidR="009903C3" w:rsidRPr="007D1DFE" w:rsidRDefault="00A458E0" w:rsidP="007D1DFE">
      <w:pPr>
        <w:spacing w:line="240" w:lineRule="auto"/>
        <w:ind w:left="1413" w:hanging="705"/>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2.5.9</w:t>
      </w:r>
      <w:r w:rsidRPr="007D1DFE">
        <w:rPr>
          <w:rFonts w:ascii="Times New Roman" w:eastAsia="Times New Roman" w:hAnsi="Times New Roman" w:cs="Times New Roman"/>
          <w:b/>
          <w:sz w:val="24"/>
          <w:szCs w:val="24"/>
          <w:lang w:eastAsia="it-IT"/>
        </w:rPr>
        <w:tab/>
      </w:r>
      <w:r w:rsidR="009903C3" w:rsidRPr="007D1DFE">
        <w:rPr>
          <w:rFonts w:ascii="Times New Roman" w:eastAsia="Times New Roman" w:hAnsi="Times New Roman" w:cs="Times New Roman"/>
          <w:b/>
          <w:sz w:val="24"/>
          <w:szCs w:val="24"/>
          <w:lang w:eastAsia="it-IT"/>
        </w:rPr>
        <w:t>Monitoraggio dei rapporti tra l’Amministrazione e i soggetti che con essa</w:t>
      </w:r>
      <w:r w:rsidR="00896E6B" w:rsidRPr="007D1DFE">
        <w:rPr>
          <w:rFonts w:ascii="Times New Roman" w:eastAsia="Times New Roman" w:hAnsi="Times New Roman" w:cs="Times New Roman"/>
          <w:b/>
          <w:sz w:val="24"/>
          <w:szCs w:val="24"/>
          <w:lang w:eastAsia="it-IT"/>
        </w:rPr>
        <w:t xml:space="preserve"> </w:t>
      </w:r>
      <w:r w:rsidR="009903C3" w:rsidRPr="007D1DFE">
        <w:rPr>
          <w:rFonts w:ascii="Times New Roman" w:eastAsia="Times New Roman" w:hAnsi="Times New Roman" w:cs="Times New Roman"/>
          <w:b/>
          <w:sz w:val="24"/>
          <w:szCs w:val="24"/>
          <w:lang w:eastAsia="it-IT"/>
        </w:rPr>
        <w:t xml:space="preserve">stipulano contratti o siano destinatari di autorizzazioni o concessioni di vantaggi economici comunque denominati. </w:t>
      </w:r>
    </w:p>
    <w:p w:rsidR="009903C3" w:rsidRPr="007D1DFE" w:rsidRDefault="009903C3" w:rsidP="007D1DFE">
      <w:pPr>
        <w:spacing w:line="240" w:lineRule="auto"/>
        <w:ind w:left="1416" w:hanging="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2.5.10.</w:t>
      </w:r>
      <w:r w:rsidRPr="007D1DFE">
        <w:rPr>
          <w:rFonts w:ascii="Times New Roman" w:eastAsia="Times New Roman" w:hAnsi="Times New Roman" w:cs="Times New Roman"/>
          <w:b/>
          <w:sz w:val="24"/>
          <w:szCs w:val="24"/>
          <w:lang w:eastAsia="it-IT"/>
        </w:rPr>
        <w:tab/>
        <w:t xml:space="preserve">Divieti di far parte di commissioni e di assegnazione a determinati uffici in caso    di condanna penale per delitti contro la </w:t>
      </w:r>
      <w:r w:rsidR="00A458E0" w:rsidRPr="007D1DFE">
        <w:rPr>
          <w:rFonts w:ascii="Times New Roman" w:eastAsia="Times New Roman" w:hAnsi="Times New Roman" w:cs="Times New Roman"/>
          <w:b/>
          <w:sz w:val="24"/>
          <w:szCs w:val="24"/>
          <w:lang w:eastAsia="it-IT"/>
        </w:rPr>
        <w:t>PA</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left="1416" w:hanging="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2.5.11. Patti di integrità</w:t>
      </w:r>
      <w:r w:rsidRPr="007D1DFE">
        <w:rPr>
          <w:rFonts w:ascii="Times New Roman" w:eastAsia="Times New Roman" w:hAnsi="Times New Roman" w:cs="Times New Roman"/>
          <w:sz w:val="24"/>
          <w:szCs w:val="24"/>
          <w:lang w:eastAsia="it-IT"/>
        </w:rPr>
        <w:t xml:space="preserve"> </w:t>
      </w:r>
    </w:p>
    <w:p w:rsidR="009903C3" w:rsidRPr="007D1DFE" w:rsidRDefault="00575985"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2.5.12</w:t>
      </w:r>
      <w:r w:rsidRPr="007D1DFE">
        <w:rPr>
          <w:rFonts w:ascii="Times New Roman" w:eastAsia="Times New Roman" w:hAnsi="Times New Roman" w:cs="Times New Roman"/>
          <w:b/>
          <w:sz w:val="24"/>
          <w:szCs w:val="24"/>
          <w:lang w:eastAsia="it-IT"/>
        </w:rPr>
        <w:tab/>
      </w:r>
      <w:r w:rsidR="009903C3" w:rsidRPr="007D1DFE">
        <w:rPr>
          <w:rFonts w:ascii="Times New Roman" w:eastAsia="Times New Roman" w:hAnsi="Times New Roman" w:cs="Times New Roman"/>
          <w:b/>
          <w:sz w:val="24"/>
          <w:szCs w:val="24"/>
          <w:lang w:eastAsia="it-IT"/>
        </w:rPr>
        <w:t>Tutela dei dipendenti pubblici che segnalano illeciti</w:t>
      </w:r>
    </w:p>
    <w:p w:rsidR="009903C3" w:rsidRPr="007D1DFE" w:rsidRDefault="009903C3" w:rsidP="007D1DFE">
      <w:pPr>
        <w:spacing w:line="240" w:lineRule="auto"/>
        <w:ind w:firstLine="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2.6.</w:t>
      </w:r>
      <w:r w:rsidRPr="007D1DFE">
        <w:rPr>
          <w:rFonts w:ascii="Times New Roman" w:eastAsia="Times New Roman" w:hAnsi="Times New Roman" w:cs="Times New Roman"/>
          <w:b/>
          <w:sz w:val="24"/>
          <w:szCs w:val="24"/>
          <w:lang w:eastAsia="it-IT"/>
        </w:rPr>
        <w:tab/>
        <w:t>Ulteriori misure ed iniziative</w:t>
      </w:r>
    </w:p>
    <w:p w:rsidR="009903C3" w:rsidRPr="007D1DFE" w:rsidRDefault="009903C3" w:rsidP="007D1DFE">
      <w:pPr>
        <w:spacing w:line="240" w:lineRule="auto"/>
        <w:ind w:left="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lastRenderedPageBreak/>
        <w:t>2.6.1.</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ab/>
      </w:r>
      <w:r w:rsidRPr="007D1DFE">
        <w:rPr>
          <w:rFonts w:ascii="Times New Roman" w:eastAsia="Times New Roman" w:hAnsi="Times New Roman" w:cs="Times New Roman"/>
          <w:b/>
          <w:sz w:val="24"/>
          <w:szCs w:val="24"/>
          <w:lang w:eastAsia="it-IT"/>
        </w:rPr>
        <w:t xml:space="preserve">Misure per agevolare l’individuazione delle operazioni sospette di riciclaggio e </w:t>
      </w:r>
      <w:r w:rsidRPr="007D1DFE">
        <w:rPr>
          <w:rFonts w:ascii="Times New Roman" w:eastAsia="Times New Roman" w:hAnsi="Times New Roman" w:cs="Times New Roman"/>
          <w:b/>
          <w:sz w:val="24"/>
          <w:szCs w:val="24"/>
          <w:lang w:eastAsia="it-IT"/>
        </w:rPr>
        <w:tab/>
        <w:t>d</w:t>
      </w:r>
      <w:r w:rsidR="00A458E0" w:rsidRPr="007D1DFE">
        <w:rPr>
          <w:rFonts w:ascii="Times New Roman" w:eastAsia="Times New Roman" w:hAnsi="Times New Roman" w:cs="Times New Roman"/>
          <w:b/>
          <w:sz w:val="24"/>
          <w:szCs w:val="24"/>
          <w:lang w:eastAsia="it-IT"/>
        </w:rPr>
        <w:t>i finanziamento del terrorismo. D</w:t>
      </w:r>
      <w:r w:rsidR="001B1B94" w:rsidRPr="007D1DFE">
        <w:rPr>
          <w:rFonts w:ascii="Times New Roman" w:eastAsia="Times New Roman" w:hAnsi="Times New Roman" w:cs="Times New Roman"/>
          <w:b/>
          <w:sz w:val="24"/>
          <w:szCs w:val="24"/>
          <w:lang w:eastAsia="it-IT"/>
        </w:rPr>
        <w:t xml:space="preserve">eliberazione </w:t>
      </w:r>
      <w:r w:rsidR="00A458E0" w:rsidRPr="007D1DFE">
        <w:rPr>
          <w:rFonts w:ascii="Times New Roman" w:eastAsia="Times New Roman" w:hAnsi="Times New Roman" w:cs="Times New Roman"/>
          <w:b/>
          <w:sz w:val="24"/>
          <w:szCs w:val="24"/>
          <w:lang w:eastAsia="it-IT"/>
        </w:rPr>
        <w:t xml:space="preserve">dell’Ufficio di presidenza </w:t>
      </w:r>
      <w:r w:rsidR="001B1B94" w:rsidRPr="007D1DFE">
        <w:rPr>
          <w:rFonts w:ascii="Times New Roman" w:eastAsia="Times New Roman" w:hAnsi="Times New Roman" w:cs="Times New Roman"/>
          <w:b/>
          <w:sz w:val="24"/>
          <w:szCs w:val="24"/>
          <w:lang w:eastAsia="it-IT"/>
        </w:rPr>
        <w:t xml:space="preserve">n. </w:t>
      </w:r>
      <w:r w:rsidR="00A458E0" w:rsidRPr="007D1DFE">
        <w:rPr>
          <w:rFonts w:ascii="Times New Roman" w:eastAsia="Times New Roman" w:hAnsi="Times New Roman" w:cs="Times New Roman"/>
          <w:b/>
          <w:sz w:val="24"/>
          <w:szCs w:val="24"/>
          <w:lang w:eastAsia="it-IT"/>
        </w:rPr>
        <w:tab/>
      </w:r>
      <w:r w:rsidR="001B1B94" w:rsidRPr="007D1DFE">
        <w:rPr>
          <w:rFonts w:ascii="Times New Roman" w:eastAsia="Times New Roman" w:hAnsi="Times New Roman" w:cs="Times New Roman"/>
          <w:b/>
          <w:sz w:val="24"/>
          <w:szCs w:val="24"/>
          <w:lang w:eastAsia="it-IT"/>
        </w:rPr>
        <w:t xml:space="preserve">75/2017 </w:t>
      </w:r>
    </w:p>
    <w:p w:rsidR="009903C3" w:rsidRPr="007D1DFE" w:rsidRDefault="009903C3" w:rsidP="007D1DFE">
      <w:pPr>
        <w:spacing w:line="240" w:lineRule="auto"/>
        <w:ind w:left="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2.6.2.</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b/>
          <w:sz w:val="24"/>
          <w:szCs w:val="24"/>
          <w:lang w:eastAsia="it-IT"/>
        </w:rPr>
        <w:t xml:space="preserve">Le attività e le misure di prevenzione da adottare in generale in relazione agli    </w:t>
      </w:r>
      <w:r w:rsidRPr="007D1DFE">
        <w:rPr>
          <w:rFonts w:ascii="Times New Roman" w:eastAsia="Times New Roman" w:hAnsi="Times New Roman" w:cs="Times New Roman"/>
          <w:b/>
          <w:sz w:val="24"/>
          <w:szCs w:val="24"/>
          <w:lang w:eastAsia="it-IT"/>
        </w:rPr>
        <w:tab/>
        <w:t>affidamenti di lavori, servizi e forniture</w:t>
      </w:r>
    </w:p>
    <w:p w:rsidR="00BC6FE9" w:rsidRPr="007D1DFE" w:rsidRDefault="00BC6FE9" w:rsidP="007D1DFE">
      <w:pPr>
        <w:spacing w:line="240" w:lineRule="auto"/>
        <w:ind w:left="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2.6.3</w:t>
      </w:r>
      <w:r w:rsidRPr="007D1DFE">
        <w:rPr>
          <w:rFonts w:ascii="Times New Roman" w:eastAsia="Times New Roman" w:hAnsi="Times New Roman" w:cs="Times New Roman"/>
          <w:b/>
          <w:sz w:val="24"/>
          <w:szCs w:val="24"/>
          <w:lang w:eastAsia="it-IT"/>
        </w:rPr>
        <w:tab/>
        <w:t>Le Linee guida</w:t>
      </w:r>
      <w:r w:rsidR="00A458E0" w:rsidRPr="007D1DFE">
        <w:rPr>
          <w:rFonts w:ascii="Times New Roman" w:eastAsia="Times New Roman" w:hAnsi="Times New Roman" w:cs="Times New Roman"/>
          <w:b/>
          <w:sz w:val="24"/>
          <w:szCs w:val="24"/>
          <w:lang w:eastAsia="it-IT"/>
        </w:rPr>
        <w:t xml:space="preserve"> dell’Autorità nazionale anticorruzione (ANAC)</w:t>
      </w:r>
      <w:r w:rsidRPr="007D1DFE">
        <w:rPr>
          <w:rFonts w:ascii="Times New Roman" w:eastAsia="Times New Roman" w:hAnsi="Times New Roman" w:cs="Times New Roman"/>
          <w:b/>
          <w:sz w:val="24"/>
          <w:szCs w:val="24"/>
          <w:lang w:eastAsia="it-IT"/>
        </w:rPr>
        <w:t xml:space="preserve"> in attuazione del </w:t>
      </w:r>
      <w:r w:rsidR="00A458E0" w:rsidRPr="007D1DFE">
        <w:rPr>
          <w:rFonts w:ascii="Times New Roman" w:eastAsia="Times New Roman" w:hAnsi="Times New Roman" w:cs="Times New Roman"/>
          <w:b/>
          <w:sz w:val="24"/>
          <w:szCs w:val="24"/>
          <w:lang w:eastAsia="it-IT"/>
        </w:rPr>
        <w:tab/>
        <w:t>d.lgs.</w:t>
      </w:r>
      <w:r w:rsidRPr="007D1DFE">
        <w:rPr>
          <w:rFonts w:ascii="Times New Roman" w:eastAsia="Times New Roman" w:hAnsi="Times New Roman" w:cs="Times New Roman"/>
          <w:b/>
          <w:sz w:val="24"/>
          <w:szCs w:val="24"/>
          <w:lang w:eastAsia="it-IT"/>
        </w:rPr>
        <w:t xml:space="preserve"> 50/2016</w:t>
      </w:r>
    </w:p>
    <w:p w:rsidR="009903C3" w:rsidRPr="007D1DFE" w:rsidRDefault="009903C3" w:rsidP="007D1DFE">
      <w:pPr>
        <w:spacing w:line="240" w:lineRule="auto"/>
        <w:ind w:left="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2.6.</w:t>
      </w:r>
      <w:r w:rsidR="001B1B94" w:rsidRPr="007D1DFE">
        <w:rPr>
          <w:rFonts w:ascii="Times New Roman" w:eastAsia="Times New Roman" w:hAnsi="Times New Roman" w:cs="Times New Roman"/>
          <w:b/>
          <w:sz w:val="24"/>
          <w:szCs w:val="24"/>
          <w:lang w:eastAsia="it-IT"/>
        </w:rPr>
        <w:t>4</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b/>
          <w:sz w:val="24"/>
          <w:szCs w:val="24"/>
          <w:lang w:eastAsia="it-IT"/>
        </w:rPr>
        <w:tab/>
        <w:t>Le indicazioni dell’Autorità garante della concorrenza e del mercato</w:t>
      </w:r>
    </w:p>
    <w:p w:rsidR="009903C3" w:rsidRPr="007D1DFE" w:rsidRDefault="009903C3" w:rsidP="007D1DFE">
      <w:pPr>
        <w:spacing w:line="240" w:lineRule="auto"/>
        <w:ind w:left="1416" w:hanging="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3.</w:t>
      </w:r>
      <w:r w:rsidRPr="007D1DFE">
        <w:rPr>
          <w:rFonts w:ascii="Times New Roman" w:eastAsia="Times New Roman" w:hAnsi="Times New Roman" w:cs="Times New Roman"/>
          <w:b/>
          <w:sz w:val="24"/>
          <w:szCs w:val="24"/>
          <w:lang w:eastAsia="it-IT"/>
        </w:rPr>
        <w:tab/>
      </w:r>
      <w:r w:rsidRPr="007D1DFE">
        <w:rPr>
          <w:rFonts w:ascii="BookmanOldStyle" w:eastAsia="Times New Roman" w:hAnsi="BookmanOldStyle" w:cs="BookmanOldStyle"/>
          <w:b/>
          <w:sz w:val="24"/>
          <w:szCs w:val="24"/>
          <w:lang w:eastAsia="it-IT"/>
        </w:rPr>
        <w:t>Monitoraggio sull’attuazione delle misure per la prevenzione della corruzione</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ab/>
        <w:t xml:space="preserve">4. </w:t>
      </w:r>
      <w:r w:rsidRPr="007D1DFE">
        <w:rPr>
          <w:rFonts w:ascii="Times New Roman" w:eastAsia="Times New Roman" w:hAnsi="Times New Roman" w:cs="Times New Roman"/>
          <w:b/>
          <w:sz w:val="24"/>
          <w:szCs w:val="24"/>
          <w:lang w:eastAsia="it-IT"/>
        </w:rPr>
        <w:tab/>
        <w:t>Diffusione di buone pratiche e valori</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ab/>
        <w:t xml:space="preserve">5.  </w:t>
      </w:r>
      <w:r w:rsidRPr="007D1DFE">
        <w:rPr>
          <w:rFonts w:ascii="Times New Roman" w:eastAsia="Times New Roman" w:hAnsi="Times New Roman" w:cs="Times New Roman"/>
          <w:b/>
          <w:sz w:val="24"/>
          <w:szCs w:val="24"/>
          <w:lang w:eastAsia="it-IT"/>
        </w:rPr>
        <w:tab/>
        <w:t xml:space="preserve">Disciplina della procedura per l’aggiornamento annuale del </w:t>
      </w:r>
      <w:r w:rsidR="00896E6B" w:rsidRPr="007D1DFE">
        <w:rPr>
          <w:rFonts w:ascii="Times New Roman" w:eastAsia="Times New Roman" w:hAnsi="Times New Roman" w:cs="Times New Roman"/>
          <w:b/>
          <w:sz w:val="24"/>
          <w:szCs w:val="24"/>
          <w:lang w:eastAsia="it-IT"/>
        </w:rPr>
        <w:t>PTPC</w:t>
      </w:r>
      <w:r w:rsidRPr="007D1DFE">
        <w:rPr>
          <w:rFonts w:ascii="Times New Roman" w:eastAsia="Times New Roman" w:hAnsi="Times New Roman" w:cs="Times New Roman"/>
          <w:b/>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Sezione II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MODALITA’ DI ATTUAZIONE DELLA TRASPARENZA</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left="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6.         La Trasparenza</w:t>
      </w:r>
    </w:p>
    <w:p w:rsidR="009903C3" w:rsidRPr="007D1DFE" w:rsidRDefault="009903C3" w:rsidP="007D1DFE">
      <w:pPr>
        <w:spacing w:line="240" w:lineRule="auto"/>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ab/>
        <w:t>6.1.</w:t>
      </w:r>
      <w:r w:rsidRPr="007D1DFE">
        <w:rPr>
          <w:rFonts w:ascii="Times New Roman" w:eastAsia="Times New Roman" w:hAnsi="Times New Roman" w:cs="Times New Roman"/>
          <w:b/>
          <w:sz w:val="24"/>
          <w:szCs w:val="24"/>
          <w:lang w:eastAsia="it-IT"/>
        </w:rPr>
        <w:tab/>
        <w:t>Tipologia dei documenti, dati e inform</w:t>
      </w:r>
      <w:r w:rsidR="00A458E0" w:rsidRPr="007D1DFE">
        <w:rPr>
          <w:rFonts w:ascii="Times New Roman" w:eastAsia="Times New Roman" w:hAnsi="Times New Roman" w:cs="Times New Roman"/>
          <w:b/>
          <w:sz w:val="24"/>
          <w:szCs w:val="24"/>
          <w:lang w:eastAsia="it-IT"/>
        </w:rPr>
        <w:t xml:space="preserve">azioni oggetto di pubblicazione. </w:t>
      </w:r>
      <w:r w:rsidR="00A458E0" w:rsidRPr="007D1DFE">
        <w:rPr>
          <w:rFonts w:ascii="Times New Roman" w:eastAsia="Times New Roman" w:hAnsi="Times New Roman" w:cs="Times New Roman"/>
          <w:b/>
          <w:sz w:val="24"/>
          <w:szCs w:val="24"/>
          <w:lang w:eastAsia="it-IT"/>
        </w:rPr>
        <w:tab/>
      </w:r>
      <w:r w:rsidR="00A458E0" w:rsidRPr="007D1DFE">
        <w:rPr>
          <w:rFonts w:ascii="Times New Roman" w:eastAsia="Times New Roman" w:hAnsi="Times New Roman" w:cs="Times New Roman"/>
          <w:b/>
          <w:sz w:val="24"/>
          <w:szCs w:val="24"/>
          <w:lang w:eastAsia="it-IT"/>
        </w:rPr>
        <w:tab/>
      </w:r>
      <w:r w:rsidR="00A458E0" w:rsidRPr="007D1DFE">
        <w:rPr>
          <w:rFonts w:ascii="Times New Roman" w:eastAsia="Times New Roman" w:hAnsi="Times New Roman" w:cs="Times New Roman"/>
          <w:b/>
          <w:sz w:val="24"/>
          <w:szCs w:val="24"/>
          <w:lang w:eastAsia="it-IT"/>
        </w:rPr>
        <w:tab/>
      </w:r>
      <w:r w:rsidRPr="007D1DFE">
        <w:rPr>
          <w:rFonts w:ascii="Times New Roman" w:eastAsia="Times New Roman" w:hAnsi="Times New Roman" w:cs="Times New Roman"/>
          <w:b/>
          <w:sz w:val="24"/>
          <w:szCs w:val="24"/>
          <w:lang w:eastAsia="it-IT"/>
        </w:rPr>
        <w:t>Individuazione della struttura dirigenziale competente.</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left="708"/>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sz w:val="24"/>
          <w:szCs w:val="24"/>
          <w:lang w:eastAsia="it-IT"/>
        </w:rPr>
        <w:t>6.2.</w:t>
      </w:r>
      <w:r w:rsidRPr="007D1DFE">
        <w:rPr>
          <w:rFonts w:ascii="Times New Roman" w:eastAsia="Times New Roman" w:hAnsi="Times New Roman" w:cs="Times New Roman"/>
          <w:b/>
          <w:sz w:val="24"/>
          <w:szCs w:val="24"/>
          <w:lang w:eastAsia="it-IT"/>
        </w:rPr>
        <w:tab/>
      </w:r>
      <w:r w:rsidRPr="007D1DFE">
        <w:rPr>
          <w:rFonts w:ascii="Times New Roman" w:eastAsia="Times New Roman" w:hAnsi="Times New Roman" w:cs="Times New Roman"/>
          <w:b/>
          <w:bCs/>
          <w:sz w:val="24"/>
          <w:szCs w:val="24"/>
          <w:lang w:eastAsia="it-IT"/>
        </w:rPr>
        <w:t>Limiti alla trasparenza.</w:t>
      </w:r>
    </w:p>
    <w:p w:rsidR="009903C3" w:rsidRPr="007D1DFE" w:rsidRDefault="009903C3" w:rsidP="007D1DFE">
      <w:pPr>
        <w:tabs>
          <w:tab w:val="left" w:pos="1134"/>
        </w:tabs>
        <w:spacing w:line="240" w:lineRule="auto"/>
        <w:ind w:left="1413" w:hanging="705"/>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 xml:space="preserve">6.3. </w:t>
      </w: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
          <w:bCs/>
          <w:sz w:val="24"/>
          <w:szCs w:val="24"/>
          <w:lang w:eastAsia="it-IT"/>
        </w:rPr>
        <w:tab/>
        <w:t>Decorrenza e durata della pubblicazione</w:t>
      </w:r>
    </w:p>
    <w:p w:rsidR="009903C3" w:rsidRPr="007D1DFE" w:rsidRDefault="009903C3" w:rsidP="007D1DFE">
      <w:pPr>
        <w:tabs>
          <w:tab w:val="left" w:pos="1134"/>
        </w:tabs>
        <w:spacing w:line="240" w:lineRule="auto"/>
        <w:ind w:left="1413" w:hanging="705"/>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bCs/>
          <w:sz w:val="24"/>
          <w:szCs w:val="24"/>
          <w:lang w:eastAsia="it-IT"/>
        </w:rPr>
        <w:t xml:space="preserve">6.4. </w:t>
      </w: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
          <w:bCs/>
          <w:sz w:val="24"/>
          <w:szCs w:val="24"/>
          <w:lang w:eastAsia="it-IT"/>
        </w:rPr>
        <w:tab/>
        <w:t>Accesso civico</w:t>
      </w:r>
    </w:p>
    <w:p w:rsidR="009903C3" w:rsidRPr="007D1DFE" w:rsidRDefault="009903C3" w:rsidP="007D1DFE">
      <w:pPr>
        <w:spacing w:line="240" w:lineRule="auto"/>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sz w:val="24"/>
          <w:szCs w:val="24"/>
          <w:lang w:eastAsia="it-IT"/>
        </w:rPr>
        <w:tab/>
        <w:t>7</w:t>
      </w:r>
      <w:r w:rsidRPr="007D1DFE">
        <w:rPr>
          <w:rFonts w:ascii="Times New Roman" w:eastAsia="Times New Roman" w:hAnsi="Times New Roman" w:cs="Times New Roman"/>
          <w:b/>
          <w:bCs/>
          <w:sz w:val="24"/>
          <w:szCs w:val="24"/>
          <w:lang w:eastAsia="it-IT"/>
        </w:rPr>
        <w:t xml:space="preserve">. </w:t>
      </w:r>
      <w:r w:rsidRPr="007D1DFE">
        <w:rPr>
          <w:rFonts w:ascii="Times New Roman" w:eastAsia="Times New Roman" w:hAnsi="Times New Roman" w:cs="Times New Roman"/>
          <w:b/>
          <w:bCs/>
          <w:sz w:val="24"/>
          <w:szCs w:val="24"/>
          <w:lang w:eastAsia="it-IT"/>
        </w:rPr>
        <w:tab/>
        <w:t>Monitoraggio e vigilanza sull’attuazione degli obblighi di trasparenza</w:t>
      </w:r>
    </w:p>
    <w:p w:rsidR="009903C3" w:rsidRPr="007D1DFE" w:rsidRDefault="009903C3" w:rsidP="007D1DFE">
      <w:pPr>
        <w:spacing w:line="240" w:lineRule="auto"/>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ab/>
        <w:t>8</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b/>
          <w:sz w:val="24"/>
          <w:szCs w:val="24"/>
          <w:lang w:eastAsia="it-IT"/>
        </w:rPr>
        <w:tab/>
        <w:t xml:space="preserve">Compiti dell’Organismo Indipendente di Valutazione (OIV) in relazione agli </w:t>
      </w:r>
      <w:r w:rsidRPr="007D1DFE">
        <w:rPr>
          <w:rFonts w:ascii="Times New Roman" w:eastAsia="Times New Roman" w:hAnsi="Times New Roman" w:cs="Times New Roman"/>
          <w:b/>
          <w:sz w:val="24"/>
          <w:szCs w:val="24"/>
          <w:lang w:eastAsia="it-IT"/>
        </w:rPr>
        <w:tab/>
      </w:r>
      <w:r w:rsidRPr="007D1DFE">
        <w:rPr>
          <w:rFonts w:ascii="Times New Roman" w:eastAsia="Times New Roman" w:hAnsi="Times New Roman" w:cs="Times New Roman"/>
          <w:b/>
          <w:sz w:val="24"/>
          <w:szCs w:val="24"/>
          <w:lang w:eastAsia="it-IT"/>
        </w:rPr>
        <w:tab/>
        <w:t>obiettivi di trasparenza</w:t>
      </w:r>
    </w:p>
    <w:p w:rsidR="009903C3" w:rsidRPr="007D1DFE" w:rsidRDefault="009903C3" w:rsidP="007D1DFE">
      <w:pPr>
        <w:spacing w:line="240" w:lineRule="auto"/>
        <w:ind w:left="1410" w:hanging="702"/>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9.</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b/>
          <w:sz w:val="24"/>
          <w:szCs w:val="24"/>
          <w:lang w:eastAsia="it-IT"/>
        </w:rPr>
        <w:tab/>
        <w:t>Misure ulteriori per la trasparenza</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
          <w:sz w:val="24"/>
          <w:szCs w:val="24"/>
          <w:lang w:eastAsia="it-IT"/>
        </w:rPr>
        <w:t xml:space="preserve">10. </w:t>
      </w:r>
      <w:r w:rsidRPr="007D1DFE">
        <w:rPr>
          <w:rFonts w:ascii="Times New Roman" w:eastAsia="Times New Roman" w:hAnsi="Times New Roman" w:cs="Times New Roman"/>
          <w:b/>
          <w:sz w:val="24"/>
          <w:szCs w:val="24"/>
          <w:lang w:eastAsia="it-IT"/>
        </w:rPr>
        <w:tab/>
        <w:t>Rilevazione quantitativa degli accessi alla sezione Amministrazione Trasparente</w:t>
      </w:r>
    </w:p>
    <w:p w:rsidR="009903C3" w:rsidRPr="007D1DFE" w:rsidRDefault="009903C3" w:rsidP="007D1DFE">
      <w:pPr>
        <w:spacing w:line="240" w:lineRule="auto"/>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sz w:val="24"/>
          <w:szCs w:val="24"/>
          <w:lang w:eastAsia="it-IT"/>
        </w:rPr>
        <w:tab/>
        <w:t xml:space="preserve">11. </w:t>
      </w:r>
      <w:r w:rsidRPr="007D1DFE">
        <w:rPr>
          <w:rFonts w:ascii="Times New Roman" w:eastAsia="Times New Roman" w:hAnsi="Times New Roman" w:cs="Times New Roman"/>
          <w:b/>
          <w:sz w:val="24"/>
          <w:szCs w:val="24"/>
          <w:lang w:eastAsia="it-IT"/>
        </w:rPr>
        <w:tab/>
        <w:t>Obiettivi di accessibilità</w:t>
      </w:r>
    </w:p>
    <w:p w:rsidR="009903C3" w:rsidRPr="007D1DFE" w:rsidRDefault="009903C3" w:rsidP="007D1DFE">
      <w:pPr>
        <w:spacing w:line="240" w:lineRule="auto"/>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
          <w:sz w:val="24"/>
          <w:szCs w:val="24"/>
          <w:lang w:eastAsia="it-IT"/>
        </w:rPr>
        <w:t xml:space="preserve">12. </w:t>
      </w:r>
      <w:r w:rsidRPr="007D1DFE">
        <w:rPr>
          <w:rFonts w:ascii="Times New Roman" w:eastAsia="Times New Roman" w:hAnsi="Times New Roman" w:cs="Times New Roman"/>
          <w:b/>
          <w:sz w:val="24"/>
          <w:szCs w:val="24"/>
          <w:lang w:eastAsia="it-IT"/>
        </w:rPr>
        <w:tab/>
      </w:r>
      <w:r w:rsidRPr="007D1DFE">
        <w:rPr>
          <w:rFonts w:ascii="Times New Roman" w:eastAsia="Times New Roman" w:hAnsi="Times New Roman" w:cs="Times New Roman"/>
          <w:b/>
          <w:bCs/>
          <w:sz w:val="24"/>
          <w:szCs w:val="24"/>
          <w:lang w:eastAsia="it-IT"/>
        </w:rPr>
        <w:t xml:space="preserve">Iniziative per la comunicazione e per la partecipazione. Giornata della </w:t>
      </w: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
          <w:bCs/>
          <w:sz w:val="24"/>
          <w:szCs w:val="24"/>
          <w:lang w:eastAsia="it-IT"/>
        </w:rPr>
        <w:tab/>
        <w:t>Trasparenza</w:t>
      </w:r>
    </w:p>
    <w:p w:rsidR="009903C3" w:rsidRPr="007D1DFE" w:rsidRDefault="009903C3" w:rsidP="007D1DFE">
      <w:pPr>
        <w:spacing w:line="240" w:lineRule="auto"/>
        <w:jc w:val="both"/>
        <w:rPr>
          <w:rFonts w:ascii="Times New Roman" w:eastAsia="Times New Roman" w:hAnsi="Times New Roman" w:cs="Times New Roman"/>
          <w:b/>
          <w:bCs/>
          <w:sz w:val="24"/>
          <w:szCs w:val="24"/>
          <w:lang w:eastAsia="it-IT"/>
        </w:rPr>
      </w:pPr>
    </w:p>
    <w:p w:rsidR="00A5577E" w:rsidRPr="007D1DFE" w:rsidRDefault="00A5577E"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360" w:lineRule="auto"/>
        <w:ind w:left="2124" w:hanging="2124"/>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u w:val="single"/>
          <w:lang w:eastAsia="it-IT"/>
        </w:rPr>
        <w:t>Allegato 1</w:t>
      </w:r>
      <w:r w:rsidRPr="007D1DFE">
        <w:rPr>
          <w:rFonts w:ascii="Times New Roman" w:eastAsia="Times New Roman" w:hAnsi="Times New Roman" w:cs="Times New Roman"/>
          <w:b/>
          <w:sz w:val="24"/>
          <w:szCs w:val="24"/>
          <w:lang w:eastAsia="it-IT"/>
        </w:rPr>
        <w:t xml:space="preserve"> - </w:t>
      </w:r>
      <w:r w:rsidRPr="007D1DFE">
        <w:rPr>
          <w:rFonts w:ascii="Times New Roman" w:eastAsia="Times New Roman" w:hAnsi="Times New Roman" w:cs="Times New Roman"/>
          <w:b/>
          <w:sz w:val="24"/>
          <w:szCs w:val="24"/>
          <w:lang w:eastAsia="it-IT"/>
        </w:rPr>
        <w:tab/>
        <w:t xml:space="preserve">Organigramma delle strutture </w:t>
      </w:r>
      <w:r w:rsidR="00E152B8" w:rsidRPr="007D1DFE">
        <w:rPr>
          <w:rFonts w:ascii="Times New Roman" w:eastAsia="Times New Roman" w:hAnsi="Times New Roman" w:cs="Times New Roman"/>
          <w:b/>
          <w:sz w:val="24"/>
          <w:szCs w:val="24"/>
          <w:lang w:eastAsia="it-IT"/>
        </w:rPr>
        <w:t>organizzative</w:t>
      </w:r>
      <w:r w:rsidR="00F822B9" w:rsidRPr="007D1DFE">
        <w:rPr>
          <w:rFonts w:ascii="Times New Roman" w:eastAsia="Times New Roman" w:hAnsi="Times New Roman" w:cs="Times New Roman"/>
          <w:b/>
          <w:sz w:val="24"/>
          <w:szCs w:val="24"/>
          <w:lang w:eastAsia="it-IT"/>
        </w:rPr>
        <w:t xml:space="preserve"> del Consiglio regionale</w:t>
      </w:r>
    </w:p>
    <w:p w:rsidR="009903C3" w:rsidRPr="007D1DFE" w:rsidRDefault="009903C3" w:rsidP="007D1DFE">
      <w:pPr>
        <w:spacing w:line="360" w:lineRule="auto"/>
        <w:ind w:left="2130" w:hanging="2130"/>
        <w:jc w:val="both"/>
        <w:rPr>
          <w:rFonts w:ascii="Times New Roman" w:eastAsia="Times New Roman" w:hAnsi="Times New Roman" w:cs="Times New Roman"/>
          <w:b/>
          <w:sz w:val="24"/>
          <w:szCs w:val="24"/>
          <w:lang w:eastAsia="it-IT"/>
        </w:rPr>
      </w:pPr>
    </w:p>
    <w:p w:rsidR="009903C3" w:rsidRPr="007D1DFE" w:rsidRDefault="009903C3" w:rsidP="007D1DFE">
      <w:pPr>
        <w:spacing w:line="360" w:lineRule="auto"/>
        <w:ind w:left="2130" w:hanging="2130"/>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u w:val="single"/>
          <w:lang w:eastAsia="it-IT"/>
        </w:rPr>
        <w:t xml:space="preserve">Allegato 2 - </w:t>
      </w:r>
      <w:r w:rsidRPr="007D1DFE">
        <w:rPr>
          <w:rFonts w:ascii="Times New Roman" w:eastAsia="Times New Roman" w:hAnsi="Times New Roman" w:cs="Times New Roman"/>
          <w:b/>
          <w:sz w:val="24"/>
          <w:szCs w:val="24"/>
          <w:lang w:eastAsia="it-IT"/>
        </w:rPr>
        <w:tab/>
        <w:t>Quadro riepilogativo dei processi</w:t>
      </w:r>
    </w:p>
    <w:p w:rsidR="00A5577E" w:rsidRPr="007D1DFE" w:rsidRDefault="00A5577E" w:rsidP="007D1DFE">
      <w:pPr>
        <w:spacing w:line="360" w:lineRule="auto"/>
        <w:ind w:left="2130" w:hanging="2130"/>
        <w:jc w:val="both"/>
        <w:rPr>
          <w:rFonts w:ascii="Times New Roman" w:eastAsia="Times New Roman" w:hAnsi="Times New Roman" w:cs="Times New Roman"/>
          <w:b/>
          <w:sz w:val="24"/>
          <w:szCs w:val="24"/>
          <w:lang w:eastAsia="it-IT"/>
        </w:rPr>
      </w:pPr>
    </w:p>
    <w:p w:rsidR="00A5577E" w:rsidRPr="007D1DFE" w:rsidRDefault="00A5577E" w:rsidP="007D1DFE">
      <w:pPr>
        <w:spacing w:line="360" w:lineRule="auto"/>
        <w:ind w:left="2130" w:hanging="2130"/>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u w:val="single"/>
          <w:lang w:eastAsia="it-IT"/>
        </w:rPr>
        <w:t>Allegato 3 -</w:t>
      </w:r>
      <w:r w:rsidRPr="007D1DFE">
        <w:rPr>
          <w:rFonts w:ascii="Times New Roman" w:eastAsia="Times New Roman" w:hAnsi="Times New Roman" w:cs="Times New Roman"/>
          <w:b/>
          <w:sz w:val="24"/>
          <w:szCs w:val="24"/>
          <w:lang w:eastAsia="it-IT"/>
        </w:rPr>
        <w:tab/>
        <w:t>Descrizione dello sviluppo dei singoli processi</w:t>
      </w:r>
    </w:p>
    <w:p w:rsidR="009903C3" w:rsidRPr="007D1DFE" w:rsidRDefault="009903C3" w:rsidP="007D1DFE">
      <w:pPr>
        <w:spacing w:line="360" w:lineRule="auto"/>
        <w:ind w:left="2130" w:hanging="2130"/>
        <w:jc w:val="both"/>
        <w:rPr>
          <w:rFonts w:ascii="Times New Roman" w:eastAsia="Times New Roman" w:hAnsi="Times New Roman" w:cs="Times New Roman"/>
          <w:b/>
          <w:sz w:val="24"/>
          <w:szCs w:val="24"/>
          <w:lang w:eastAsia="it-IT"/>
        </w:rPr>
      </w:pPr>
    </w:p>
    <w:p w:rsidR="009903C3" w:rsidRPr="007D1DFE" w:rsidRDefault="009903C3" w:rsidP="007D1DFE">
      <w:pPr>
        <w:spacing w:line="276" w:lineRule="auto"/>
        <w:ind w:left="2132" w:hanging="2132"/>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u w:val="single"/>
          <w:lang w:eastAsia="it-IT"/>
        </w:rPr>
        <w:t>Allegato 4 -</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b/>
          <w:sz w:val="24"/>
          <w:szCs w:val="24"/>
          <w:lang w:eastAsia="it-IT"/>
        </w:rPr>
        <w:tab/>
        <w:t>Analisi del rischio e individuazione delle misure per prevenire l’insorgenza di fenomeni corruttivi</w:t>
      </w:r>
    </w:p>
    <w:p w:rsidR="009903C3" w:rsidRPr="007D1DFE" w:rsidRDefault="009903C3" w:rsidP="007D1DFE">
      <w:pPr>
        <w:spacing w:line="360" w:lineRule="auto"/>
        <w:ind w:left="2132" w:hanging="2132"/>
        <w:jc w:val="both"/>
        <w:rPr>
          <w:rFonts w:ascii="Times New Roman" w:eastAsia="Times New Roman" w:hAnsi="Times New Roman" w:cs="Times New Roman"/>
          <w:b/>
          <w:sz w:val="24"/>
          <w:szCs w:val="24"/>
          <w:lang w:eastAsia="it-IT"/>
        </w:rPr>
      </w:pPr>
    </w:p>
    <w:p w:rsidR="00695698" w:rsidRPr="007D1DFE" w:rsidRDefault="009903C3" w:rsidP="007D1DFE">
      <w:pPr>
        <w:spacing w:line="276" w:lineRule="auto"/>
        <w:ind w:left="2130" w:hanging="2130"/>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u w:val="single"/>
          <w:lang w:eastAsia="it-IT"/>
        </w:rPr>
        <w:t>Allegato 5 -</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b/>
          <w:sz w:val="24"/>
          <w:szCs w:val="24"/>
          <w:lang w:eastAsia="it-IT"/>
        </w:rPr>
        <w:tab/>
        <w:t>Tipologia dei dati, adempimenti e strutture competenti per la loro pubblicazione, in relazione agli obblighi di trasparenza</w:t>
      </w:r>
      <w:r w:rsidR="00695698" w:rsidRPr="007D1DFE">
        <w:rPr>
          <w:rFonts w:ascii="Times New Roman" w:eastAsia="Times New Roman" w:hAnsi="Times New Roman" w:cs="Times New Roman"/>
          <w:b/>
          <w:sz w:val="24"/>
          <w:szCs w:val="24"/>
          <w:lang w:eastAsia="it-IT"/>
        </w:rPr>
        <w:t xml:space="preserve">, con </w:t>
      </w:r>
      <w:r w:rsidR="00695698" w:rsidRPr="007D1DFE">
        <w:rPr>
          <w:rFonts w:ascii="Times New Roman" w:eastAsia="Times New Roman" w:hAnsi="Times New Roman" w:cs="Times New Roman"/>
          <w:b/>
          <w:sz w:val="24"/>
          <w:szCs w:val="24"/>
          <w:lang w:eastAsia="it-IT"/>
        </w:rPr>
        <w:lastRenderedPageBreak/>
        <w:t>l’individuazione dei responsabili della trasmissione e dei responsabili della pubblicazione dei dati, documenti ed informazioni</w:t>
      </w:r>
    </w:p>
    <w:p w:rsidR="009903C3" w:rsidRPr="007D1DFE" w:rsidRDefault="009903C3" w:rsidP="007D1DFE">
      <w:pPr>
        <w:spacing w:line="360" w:lineRule="auto"/>
        <w:ind w:left="2132" w:hanging="2132"/>
        <w:jc w:val="both"/>
        <w:rPr>
          <w:rFonts w:ascii="Times New Roman" w:eastAsia="Times New Roman" w:hAnsi="Times New Roman" w:cs="Times New Roman"/>
          <w:b/>
          <w:sz w:val="24"/>
          <w:szCs w:val="24"/>
          <w:lang w:eastAsia="it-IT"/>
        </w:rPr>
      </w:pPr>
    </w:p>
    <w:p w:rsidR="009903C3" w:rsidRPr="007D1DFE" w:rsidRDefault="009903C3" w:rsidP="007D1DFE">
      <w:pPr>
        <w:spacing w:line="360" w:lineRule="auto"/>
        <w:ind w:left="2132" w:hanging="2132"/>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u w:val="single"/>
          <w:lang w:eastAsia="it-IT"/>
        </w:rPr>
        <w:t>Allegato 6</w:t>
      </w:r>
      <w:r w:rsidRPr="007D1DFE">
        <w:rPr>
          <w:rFonts w:ascii="Times New Roman" w:eastAsia="Times New Roman" w:hAnsi="Times New Roman" w:cs="Times New Roman"/>
          <w:b/>
          <w:sz w:val="24"/>
          <w:szCs w:val="24"/>
          <w:lang w:eastAsia="it-IT"/>
        </w:rPr>
        <w:t xml:space="preserve">                  Cronoprogramma degli adempimenti degli uffici </w:t>
      </w:r>
    </w:p>
    <w:p w:rsidR="00F822B9" w:rsidRPr="007D1DFE" w:rsidRDefault="00F822B9" w:rsidP="007D1DFE">
      <w:pPr>
        <w:spacing w:line="360" w:lineRule="auto"/>
        <w:ind w:left="2130" w:hanging="2130"/>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br w:type="page"/>
      </w: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lastRenderedPageBreak/>
        <w:t>Introduzione</w:t>
      </w: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numPr>
          <w:ilvl w:val="1"/>
          <w:numId w:val="11"/>
        </w:numPr>
        <w:spacing w:line="240" w:lineRule="auto"/>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 Il contesto normativo nazionale di riferimento.</w:t>
      </w:r>
    </w:p>
    <w:p w:rsidR="009903C3" w:rsidRPr="007D1DFE" w:rsidRDefault="009903C3" w:rsidP="007D1DFE">
      <w:pPr>
        <w:spacing w:line="240" w:lineRule="auto"/>
        <w:rPr>
          <w:rFonts w:ascii="Times New Roman" w:eastAsia="Times New Roman" w:hAnsi="Times New Roman" w:cs="Times New Roman"/>
          <w:b/>
          <w:sz w:val="24"/>
          <w:szCs w:val="24"/>
          <w:lang w:eastAsia="it-IT"/>
        </w:rPr>
      </w:pPr>
    </w:p>
    <w:p w:rsidR="00B40C11" w:rsidRPr="007D1DFE" w:rsidRDefault="000B05B9"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In attuazione dell’articolo</w:t>
      </w:r>
      <w:r w:rsidR="002C704D" w:rsidRPr="007D1DFE">
        <w:rPr>
          <w:rFonts w:ascii="Times New Roman" w:eastAsia="Times New Roman" w:hAnsi="Times New Roman" w:cs="Times New Roman"/>
          <w:sz w:val="24"/>
          <w:szCs w:val="24"/>
          <w:lang w:eastAsia="it-IT"/>
        </w:rPr>
        <w:t xml:space="preserve"> 1</w:t>
      </w:r>
      <w:r w:rsidR="00CC311B" w:rsidRPr="007D1DFE">
        <w:rPr>
          <w:rFonts w:ascii="Times New Roman" w:eastAsia="Times New Roman" w:hAnsi="Times New Roman" w:cs="Times New Roman"/>
          <w:sz w:val="24"/>
          <w:szCs w:val="24"/>
          <w:lang w:eastAsia="it-IT"/>
        </w:rPr>
        <w:t>,</w:t>
      </w:r>
      <w:r w:rsidR="002C704D" w:rsidRPr="007D1DFE">
        <w:rPr>
          <w:rFonts w:ascii="Times New Roman" w:eastAsia="Times New Roman" w:hAnsi="Times New Roman" w:cs="Times New Roman"/>
          <w:sz w:val="24"/>
          <w:szCs w:val="24"/>
          <w:lang w:eastAsia="it-IT"/>
        </w:rPr>
        <w:t xml:space="preserve"> comma 8 della </w:t>
      </w:r>
      <w:r w:rsidR="00F822B9" w:rsidRPr="007D1DFE">
        <w:rPr>
          <w:rFonts w:ascii="Times New Roman" w:eastAsia="Times New Roman" w:hAnsi="Times New Roman" w:cs="Times New Roman"/>
          <w:sz w:val="24"/>
          <w:szCs w:val="24"/>
          <w:lang w:eastAsia="it-IT"/>
        </w:rPr>
        <w:t xml:space="preserve">legge 6 novembre 2012 n. 190 (Disposizioni per la prevenzione e la repressione della corruzione e dell’illegalità nella pubblica amministrazione) </w:t>
      </w:r>
      <w:r w:rsidR="002C704D" w:rsidRPr="007D1DFE">
        <w:rPr>
          <w:rFonts w:ascii="Times New Roman" w:eastAsia="Times New Roman" w:hAnsi="Times New Roman" w:cs="Times New Roman"/>
          <w:sz w:val="24"/>
          <w:szCs w:val="24"/>
          <w:lang w:eastAsia="it-IT"/>
        </w:rPr>
        <w:t>l’organo di indirizzo politico è tenuto ogni anno ad adottare</w:t>
      </w:r>
      <w:r w:rsidR="00AD1DFD" w:rsidRPr="007D1DFE">
        <w:rPr>
          <w:rFonts w:ascii="Times New Roman" w:eastAsia="Times New Roman" w:hAnsi="Times New Roman" w:cs="Times New Roman"/>
          <w:sz w:val="24"/>
          <w:szCs w:val="24"/>
          <w:lang w:eastAsia="it-IT"/>
        </w:rPr>
        <w:t>, su proposta del Responsabile della prevenzione della corruzione e della trasparenza (RPCT)</w:t>
      </w:r>
      <w:r w:rsidR="00CC311B" w:rsidRPr="007D1DFE">
        <w:rPr>
          <w:rFonts w:ascii="Times New Roman" w:eastAsia="Times New Roman" w:hAnsi="Times New Roman" w:cs="Times New Roman"/>
          <w:sz w:val="24"/>
          <w:szCs w:val="24"/>
          <w:lang w:eastAsia="it-IT"/>
        </w:rPr>
        <w:t>,</w:t>
      </w:r>
      <w:r w:rsidR="002C704D" w:rsidRPr="007D1DFE">
        <w:rPr>
          <w:rFonts w:ascii="Times New Roman" w:eastAsia="Times New Roman" w:hAnsi="Times New Roman" w:cs="Times New Roman"/>
          <w:sz w:val="24"/>
          <w:szCs w:val="24"/>
          <w:lang w:eastAsia="it-IT"/>
        </w:rPr>
        <w:t xml:space="preserve"> un nuovo Piano triennale per la prevenzione della corruzione (PTPC) che costituisce un aggiornamento</w:t>
      </w:r>
      <w:r w:rsidR="00CC311B" w:rsidRPr="007D1DFE">
        <w:rPr>
          <w:rFonts w:ascii="Times New Roman" w:eastAsia="Times New Roman" w:hAnsi="Times New Roman" w:cs="Times New Roman"/>
          <w:sz w:val="24"/>
          <w:szCs w:val="24"/>
          <w:lang w:eastAsia="it-IT"/>
        </w:rPr>
        <w:t xml:space="preserve"> di</w:t>
      </w:r>
      <w:r w:rsidR="002C704D" w:rsidRPr="007D1DFE">
        <w:rPr>
          <w:rFonts w:ascii="Times New Roman" w:eastAsia="Times New Roman" w:hAnsi="Times New Roman" w:cs="Times New Roman"/>
          <w:sz w:val="24"/>
          <w:szCs w:val="24"/>
          <w:lang w:eastAsia="it-IT"/>
        </w:rPr>
        <w:t xml:space="preserve"> quello </w:t>
      </w:r>
      <w:r w:rsidR="009903C3" w:rsidRPr="007D1DFE">
        <w:rPr>
          <w:rFonts w:ascii="Times New Roman" w:eastAsia="Times New Roman" w:hAnsi="Times New Roman" w:cs="Times New Roman"/>
          <w:sz w:val="24"/>
          <w:szCs w:val="24"/>
          <w:lang w:eastAsia="it-IT"/>
        </w:rPr>
        <w:t>prec</w:t>
      </w:r>
      <w:r w:rsidR="000612D3" w:rsidRPr="007D1DFE">
        <w:rPr>
          <w:rFonts w:ascii="Times New Roman" w:eastAsia="Times New Roman" w:hAnsi="Times New Roman" w:cs="Times New Roman"/>
          <w:sz w:val="24"/>
          <w:szCs w:val="24"/>
          <w:lang w:eastAsia="it-IT"/>
        </w:rPr>
        <w:t>edente</w:t>
      </w:r>
      <w:r w:rsidRPr="007D1DFE">
        <w:rPr>
          <w:rFonts w:ascii="Times New Roman" w:eastAsia="Times New Roman" w:hAnsi="Times New Roman" w:cs="Times New Roman"/>
          <w:sz w:val="24"/>
          <w:szCs w:val="24"/>
          <w:lang w:eastAsia="it-IT"/>
        </w:rPr>
        <w:t xml:space="preserve">, in particolare attraverso </w:t>
      </w:r>
      <w:r w:rsidR="000612D3" w:rsidRPr="007D1DFE">
        <w:rPr>
          <w:rFonts w:ascii="Times New Roman" w:eastAsia="Times New Roman" w:hAnsi="Times New Roman" w:cs="Times New Roman"/>
          <w:sz w:val="24"/>
          <w:szCs w:val="24"/>
          <w:lang w:eastAsia="it-IT"/>
        </w:rPr>
        <w:t>modifiche e</w:t>
      </w:r>
      <w:r w:rsidR="009903C3" w:rsidRPr="007D1DFE">
        <w:rPr>
          <w:rFonts w:ascii="Times New Roman" w:eastAsia="Times New Roman" w:hAnsi="Times New Roman" w:cs="Times New Roman"/>
          <w:sz w:val="24"/>
          <w:szCs w:val="24"/>
          <w:lang w:eastAsia="it-IT"/>
        </w:rPr>
        <w:t xml:space="preserve"> integrazioni </w:t>
      </w:r>
      <w:r w:rsidRPr="007D1DFE">
        <w:rPr>
          <w:rFonts w:ascii="Times New Roman" w:eastAsia="Times New Roman" w:hAnsi="Times New Roman" w:cs="Times New Roman"/>
          <w:sz w:val="24"/>
          <w:szCs w:val="24"/>
          <w:lang w:eastAsia="it-IT"/>
        </w:rPr>
        <w:t xml:space="preserve">tese a recepire </w:t>
      </w:r>
      <w:r w:rsidR="009903C3" w:rsidRPr="007D1DFE">
        <w:rPr>
          <w:rFonts w:ascii="Times New Roman" w:eastAsia="Times New Roman" w:hAnsi="Times New Roman" w:cs="Times New Roman"/>
          <w:sz w:val="24"/>
          <w:szCs w:val="24"/>
          <w:lang w:eastAsia="it-IT"/>
        </w:rPr>
        <w:t xml:space="preserve">gli indirizzi espressi </w:t>
      </w:r>
      <w:r w:rsidR="000612D3" w:rsidRPr="007D1DFE">
        <w:rPr>
          <w:rFonts w:ascii="Times New Roman" w:eastAsia="Times New Roman" w:hAnsi="Times New Roman" w:cs="Times New Roman"/>
          <w:sz w:val="24"/>
          <w:szCs w:val="24"/>
          <w:lang w:eastAsia="it-IT"/>
        </w:rPr>
        <w:t>e le indicazioni fornite de</w:t>
      </w:r>
      <w:r w:rsidR="009903C3" w:rsidRPr="007D1DFE">
        <w:rPr>
          <w:rFonts w:ascii="Times New Roman" w:eastAsia="Times New Roman" w:hAnsi="Times New Roman" w:cs="Times New Roman"/>
          <w:sz w:val="24"/>
          <w:szCs w:val="24"/>
          <w:lang w:eastAsia="it-IT"/>
        </w:rPr>
        <w:t xml:space="preserve">ll’Autorità Nazionale Anticorruzione (ANAC) </w:t>
      </w:r>
      <w:r w:rsidR="000612D3" w:rsidRPr="007D1DFE">
        <w:rPr>
          <w:rFonts w:ascii="Times New Roman" w:eastAsia="Times New Roman" w:hAnsi="Times New Roman" w:cs="Times New Roman"/>
          <w:sz w:val="24"/>
          <w:szCs w:val="24"/>
          <w:lang w:eastAsia="it-IT"/>
        </w:rPr>
        <w:t>negli atti adottati dalla stessa nel</w:t>
      </w:r>
      <w:r w:rsidRPr="007D1DFE">
        <w:rPr>
          <w:rFonts w:ascii="Times New Roman" w:eastAsia="Times New Roman" w:hAnsi="Times New Roman" w:cs="Times New Roman"/>
          <w:sz w:val="24"/>
          <w:szCs w:val="24"/>
          <w:lang w:eastAsia="it-IT"/>
        </w:rPr>
        <w:t>l’</w:t>
      </w:r>
      <w:r w:rsidR="000612D3" w:rsidRPr="007D1DFE">
        <w:rPr>
          <w:rFonts w:ascii="Times New Roman" w:eastAsia="Times New Roman" w:hAnsi="Times New Roman" w:cs="Times New Roman"/>
          <w:sz w:val="24"/>
          <w:szCs w:val="24"/>
          <w:lang w:eastAsia="it-IT"/>
        </w:rPr>
        <w:t>anno</w:t>
      </w:r>
      <w:r w:rsidRPr="007D1DFE">
        <w:rPr>
          <w:rFonts w:ascii="Times New Roman" w:eastAsia="Times New Roman" w:hAnsi="Times New Roman" w:cs="Times New Roman"/>
          <w:sz w:val="24"/>
          <w:szCs w:val="24"/>
          <w:lang w:eastAsia="it-IT"/>
        </w:rPr>
        <w:t xml:space="preserve"> in corso</w:t>
      </w:r>
      <w:r w:rsidR="00CC311B"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Con</w:t>
      </w:r>
      <w:r w:rsidR="00CC311B" w:rsidRPr="007D1DFE">
        <w:rPr>
          <w:rFonts w:ascii="Times New Roman" w:eastAsia="Times New Roman" w:hAnsi="Times New Roman" w:cs="Times New Roman"/>
          <w:sz w:val="24"/>
          <w:szCs w:val="24"/>
          <w:lang w:eastAsia="it-IT"/>
        </w:rPr>
        <w:t xml:space="preserve"> riferimento al presente PTPC 2019</w:t>
      </w:r>
      <w:r w:rsidRPr="007D1DFE">
        <w:rPr>
          <w:rFonts w:ascii="Times New Roman" w:eastAsia="Times New Roman" w:hAnsi="Times New Roman" w:cs="Times New Roman"/>
          <w:sz w:val="24"/>
          <w:szCs w:val="24"/>
          <w:lang w:eastAsia="it-IT"/>
        </w:rPr>
        <w:t xml:space="preserve"> -</w:t>
      </w:r>
      <w:r w:rsidR="00CC311B" w:rsidRPr="007D1DFE">
        <w:rPr>
          <w:rFonts w:ascii="Times New Roman" w:eastAsia="Times New Roman" w:hAnsi="Times New Roman" w:cs="Times New Roman"/>
          <w:sz w:val="24"/>
          <w:szCs w:val="24"/>
          <w:lang w:eastAsia="it-IT"/>
        </w:rPr>
        <w:t xml:space="preserve"> 2021</w:t>
      </w:r>
      <w:r w:rsidRPr="007D1DFE">
        <w:rPr>
          <w:rFonts w:ascii="Times New Roman" w:eastAsia="Times New Roman" w:hAnsi="Times New Roman" w:cs="Times New Roman"/>
          <w:sz w:val="24"/>
          <w:szCs w:val="24"/>
          <w:lang w:eastAsia="it-IT"/>
        </w:rPr>
        <w:t>,</w:t>
      </w:r>
      <w:r w:rsidR="00CC311B" w:rsidRPr="007D1DFE">
        <w:rPr>
          <w:rFonts w:ascii="Times New Roman" w:eastAsia="Times New Roman" w:hAnsi="Times New Roman" w:cs="Times New Roman"/>
          <w:sz w:val="24"/>
          <w:szCs w:val="24"/>
          <w:lang w:eastAsia="it-IT"/>
        </w:rPr>
        <w:t xml:space="preserve"> l’atto dell’ANAC che </w:t>
      </w:r>
      <w:r w:rsidRPr="007D1DFE">
        <w:rPr>
          <w:rFonts w:ascii="Times New Roman" w:eastAsia="Times New Roman" w:hAnsi="Times New Roman" w:cs="Times New Roman"/>
          <w:sz w:val="24"/>
          <w:szCs w:val="24"/>
          <w:lang w:eastAsia="it-IT"/>
        </w:rPr>
        <w:t xml:space="preserve">sicuramente </w:t>
      </w:r>
      <w:r w:rsidR="00CC311B" w:rsidRPr="007D1DFE">
        <w:rPr>
          <w:rFonts w:ascii="Times New Roman" w:eastAsia="Times New Roman" w:hAnsi="Times New Roman" w:cs="Times New Roman"/>
          <w:sz w:val="24"/>
          <w:szCs w:val="24"/>
          <w:lang w:eastAsia="it-IT"/>
        </w:rPr>
        <w:t xml:space="preserve">rileva è la </w:t>
      </w:r>
      <w:r w:rsidR="00B40C11" w:rsidRPr="007D1DFE">
        <w:rPr>
          <w:rFonts w:ascii="Times New Roman" w:eastAsia="Times New Roman" w:hAnsi="Times New Roman" w:cs="Times New Roman"/>
          <w:sz w:val="24"/>
          <w:szCs w:val="24"/>
          <w:lang w:eastAsia="it-IT"/>
        </w:rPr>
        <w:t xml:space="preserve">delibera </w:t>
      </w:r>
      <w:r w:rsidR="000612D3" w:rsidRPr="007D1DFE">
        <w:rPr>
          <w:rFonts w:ascii="Times New Roman" w:eastAsia="Times New Roman" w:hAnsi="Times New Roman" w:cs="Times New Roman"/>
          <w:sz w:val="24"/>
          <w:szCs w:val="24"/>
          <w:lang w:eastAsia="it-IT"/>
        </w:rPr>
        <w:t>21 novembre 2018</w:t>
      </w:r>
      <w:r w:rsidRPr="007D1DFE">
        <w:rPr>
          <w:rFonts w:ascii="Times New Roman" w:eastAsia="Times New Roman" w:hAnsi="Times New Roman" w:cs="Times New Roman"/>
          <w:sz w:val="24"/>
          <w:szCs w:val="24"/>
          <w:lang w:eastAsia="it-IT"/>
        </w:rPr>
        <w:t>,</w:t>
      </w:r>
      <w:r w:rsidR="00806553"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 xml:space="preserve">n. 1074 </w:t>
      </w:r>
      <w:r w:rsidR="00806553" w:rsidRPr="007D1DFE">
        <w:rPr>
          <w:rStyle w:val="Rimandonotaapidipagina"/>
          <w:rFonts w:ascii="Times New Roman" w:eastAsia="Times New Roman" w:hAnsi="Times New Roman" w:cs="Times New Roman"/>
          <w:sz w:val="24"/>
          <w:szCs w:val="24"/>
          <w:lang w:eastAsia="it-IT"/>
        </w:rPr>
        <w:footnoteReference w:id="1"/>
      </w:r>
      <w:r w:rsidR="00B40C11" w:rsidRPr="007D1DFE">
        <w:rPr>
          <w:rFonts w:ascii="Times New Roman" w:eastAsia="Times New Roman" w:hAnsi="Times New Roman" w:cs="Times New Roman"/>
          <w:sz w:val="24"/>
          <w:szCs w:val="24"/>
          <w:lang w:eastAsia="it-IT"/>
        </w:rPr>
        <w:t>.</w:t>
      </w:r>
      <w:r w:rsidR="000552EF" w:rsidRPr="007D1DFE">
        <w:rPr>
          <w:rFonts w:ascii="Times New Roman" w:eastAsia="Times New Roman" w:hAnsi="Times New Roman" w:cs="Times New Roman"/>
          <w:sz w:val="24"/>
          <w:szCs w:val="24"/>
          <w:lang w:eastAsia="it-IT"/>
        </w:rPr>
        <w:t xml:space="preserve"> </w:t>
      </w:r>
    </w:p>
    <w:p w:rsidR="009903C3" w:rsidRPr="007D1DFE" w:rsidRDefault="001F7F24"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Per il Consiglio regionale, quindi, il presente PTPC 2019 – 2021 riveste, unitamente al PNA, un ruolo di primo piano nel sistema di prevenzione della corruzione delineato dalla legge </w:t>
      </w:r>
      <w:r w:rsidR="009903C3" w:rsidRPr="007D1DFE">
        <w:rPr>
          <w:rFonts w:ascii="Times New Roman" w:eastAsia="Times New Roman" w:hAnsi="Times New Roman" w:cs="Times New Roman"/>
          <w:sz w:val="24"/>
          <w:szCs w:val="24"/>
          <w:lang w:eastAsia="it-IT"/>
        </w:rPr>
        <w:t>190</w:t>
      </w:r>
      <w:r w:rsidR="00CC311B" w:rsidRPr="007D1DFE">
        <w:rPr>
          <w:rFonts w:ascii="Times New Roman" w:eastAsia="Times New Roman" w:hAnsi="Times New Roman" w:cs="Times New Roman"/>
          <w:sz w:val="24"/>
          <w:szCs w:val="24"/>
          <w:lang w:eastAsia="it-IT"/>
        </w:rPr>
        <w:t>/2012</w:t>
      </w:r>
      <w:r w:rsidR="009903C3" w:rsidRPr="007D1DFE">
        <w:rPr>
          <w:rFonts w:ascii="Times New Roman" w:eastAsia="Times New Roman" w:hAnsi="Times New Roman" w:cs="Times New Roman"/>
          <w:sz w:val="24"/>
          <w:szCs w:val="24"/>
          <w:lang w:eastAsia="it-IT"/>
        </w:rPr>
        <w:t>, che ha introdotto nell’ordinamento nazionale una normativa organica volta prioritariamente a prevenire l’insorgenza di fenomeni di corruzione nella pubblica amministrazione.</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Con tale legge</w:t>
      </w:r>
      <w:r w:rsidR="00CC311B"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si </w:t>
      </w:r>
      <w:r w:rsidR="00CC311B" w:rsidRPr="007D1DFE">
        <w:rPr>
          <w:rFonts w:ascii="Times New Roman" w:eastAsia="Times New Roman" w:hAnsi="Times New Roman" w:cs="Times New Roman"/>
          <w:sz w:val="24"/>
          <w:szCs w:val="24"/>
          <w:lang w:eastAsia="it-IT"/>
        </w:rPr>
        <w:t>è inteso</w:t>
      </w:r>
      <w:r w:rsidRPr="007D1DFE">
        <w:rPr>
          <w:rFonts w:ascii="Times New Roman" w:eastAsia="Times New Roman" w:hAnsi="Times New Roman" w:cs="Times New Roman"/>
          <w:sz w:val="24"/>
          <w:szCs w:val="24"/>
          <w:lang w:eastAsia="it-IT"/>
        </w:rPr>
        <w:t xml:space="preserve"> dar seguito a quanto previsto dalla legge 116/2009, con la quale il nostro Paese </w:t>
      </w:r>
      <w:r w:rsidR="00CC311B" w:rsidRPr="007D1DFE">
        <w:rPr>
          <w:rFonts w:ascii="Times New Roman" w:eastAsia="Times New Roman" w:hAnsi="Times New Roman" w:cs="Times New Roman"/>
          <w:sz w:val="24"/>
          <w:szCs w:val="24"/>
          <w:lang w:eastAsia="it-IT"/>
        </w:rPr>
        <w:t>ha ratificato</w:t>
      </w:r>
      <w:r w:rsidRPr="007D1DFE">
        <w:rPr>
          <w:rFonts w:ascii="Times New Roman" w:eastAsia="Times New Roman" w:hAnsi="Times New Roman" w:cs="Times New Roman"/>
          <w:sz w:val="24"/>
          <w:szCs w:val="24"/>
          <w:lang w:eastAsia="it-IT"/>
        </w:rPr>
        <w:t xml:space="preserve"> la Convenzione dell’ONU contro la corruzione adottata sei anni prima. </w:t>
      </w:r>
    </w:p>
    <w:p w:rsidR="009903C3" w:rsidRPr="007D1DFE" w:rsidRDefault="009903C3" w:rsidP="007D1DFE">
      <w:pPr>
        <w:spacing w:line="240" w:lineRule="auto"/>
        <w:ind w:firstLine="708"/>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In attuazione della legge 190/2012 </w:t>
      </w:r>
      <w:r w:rsidR="00CC311B" w:rsidRPr="007D1DFE">
        <w:rPr>
          <w:rFonts w:ascii="Times New Roman" w:eastAsia="Times New Roman" w:hAnsi="Times New Roman" w:cs="Times New Roman"/>
          <w:bCs/>
          <w:sz w:val="24"/>
          <w:szCs w:val="24"/>
          <w:lang w:eastAsia="it-IT"/>
        </w:rPr>
        <w:t>sono stati</w:t>
      </w:r>
      <w:r w:rsidRPr="007D1DFE">
        <w:rPr>
          <w:rFonts w:ascii="Times New Roman" w:eastAsia="Times New Roman" w:hAnsi="Times New Roman" w:cs="Times New Roman"/>
          <w:bCs/>
          <w:sz w:val="24"/>
          <w:szCs w:val="24"/>
          <w:lang w:eastAsia="it-IT"/>
        </w:rPr>
        <w:t xml:space="preserve"> emanati: </w:t>
      </w:r>
    </w:p>
    <w:p w:rsidR="009903C3" w:rsidRPr="007D1DFE" w:rsidRDefault="009903C3" w:rsidP="007D1DFE">
      <w:pPr>
        <w:numPr>
          <w:ilvl w:val="0"/>
          <w:numId w:val="2"/>
        </w:num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il decreto legislativo 31 dicembre 2012, n. 235 (Testo unico delle disposizioni in materia di incandidabilit</w:t>
      </w:r>
      <w:r w:rsidR="00D07756" w:rsidRPr="007D1DFE">
        <w:rPr>
          <w:rFonts w:ascii="Times New Roman" w:eastAsia="Times New Roman" w:hAnsi="Times New Roman" w:cs="Times New Roman"/>
          <w:bCs/>
          <w:sz w:val="24"/>
          <w:szCs w:val="24"/>
          <w:lang w:eastAsia="it-IT"/>
        </w:rPr>
        <w:t>à</w:t>
      </w:r>
      <w:r w:rsidRPr="007D1DFE">
        <w:rPr>
          <w:rFonts w:ascii="Times New Roman" w:eastAsia="Times New Roman" w:hAnsi="Times New Roman" w:cs="Times New Roman"/>
          <w:bCs/>
          <w:sz w:val="24"/>
          <w:szCs w:val="24"/>
          <w:lang w:eastAsia="it-IT"/>
        </w:rPr>
        <w:t xml:space="preserve"> e di divieto di ricoprire cariche elettive e di governo conseguenti a sentenze definitive di condanna per delitti non colposi, a norma dell'articolo 1, comma 63, della legge 6 novembre 2012, n. 190); </w:t>
      </w:r>
    </w:p>
    <w:p w:rsidR="009903C3" w:rsidRPr="007D1DFE" w:rsidRDefault="009903C3" w:rsidP="007D1DFE">
      <w:pPr>
        <w:numPr>
          <w:ilvl w:val="0"/>
          <w:numId w:val="2"/>
        </w:num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il decreto legislativo 14 marzo 2013, n. 33 (Riordino della disciplina riguardante gli obblighi di pubblicità, trasparenza e diffusione di informazioni da parte delle pubbliche amministrazioni) </w:t>
      </w:r>
      <w:r w:rsidRPr="007D1DFE">
        <w:rPr>
          <w:rFonts w:ascii="Times New Roman" w:eastAsia="Times New Roman" w:hAnsi="Times New Roman" w:cs="Times New Roman"/>
          <w:bCs/>
          <w:sz w:val="24"/>
          <w:szCs w:val="24"/>
          <w:vertAlign w:val="superscript"/>
          <w:lang w:eastAsia="it-IT"/>
        </w:rPr>
        <w:footnoteReference w:id="2"/>
      </w:r>
      <w:r w:rsidRPr="007D1DFE">
        <w:rPr>
          <w:rFonts w:ascii="Times New Roman" w:eastAsia="Times New Roman" w:hAnsi="Times New Roman" w:cs="Times New Roman"/>
          <w:bCs/>
          <w:sz w:val="24"/>
          <w:szCs w:val="24"/>
          <w:lang w:eastAsia="it-IT"/>
        </w:rPr>
        <w:t>;</w:t>
      </w:r>
    </w:p>
    <w:p w:rsidR="009903C3" w:rsidRPr="007D1DFE" w:rsidRDefault="009903C3" w:rsidP="007D1DFE">
      <w:pPr>
        <w:numPr>
          <w:ilvl w:val="0"/>
          <w:numId w:val="2"/>
        </w:num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il decreto legislativo 8 aprile 2013, n. 39 (Disposizioni in materia di inconferibilità e incompatibilità di incarichi presso le pubbliche amministrazioni e presso gli enti privati in controllo pubblico, a norma dell’articolo 1, commi 49 e 50, della legge 6 novembre 2012, n. 190);</w:t>
      </w:r>
    </w:p>
    <w:p w:rsidR="009903C3" w:rsidRPr="007D1DFE" w:rsidRDefault="009903C3" w:rsidP="007D1DFE">
      <w:pPr>
        <w:numPr>
          <w:ilvl w:val="0"/>
          <w:numId w:val="2"/>
        </w:num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il decreto del </w:t>
      </w:r>
      <w:smartTag w:uri="urn:schemas-microsoft-com:office:smarttags" w:element="PersonName">
        <w:r w:rsidRPr="007D1DFE">
          <w:rPr>
            <w:rFonts w:ascii="Times New Roman" w:eastAsia="Times New Roman" w:hAnsi="Times New Roman" w:cs="Times New Roman"/>
            <w:bCs/>
            <w:sz w:val="24"/>
            <w:szCs w:val="24"/>
            <w:lang w:eastAsia="it-IT"/>
          </w:rPr>
          <w:t>Presidente</w:t>
        </w:r>
      </w:smartTag>
      <w:r w:rsidRPr="007D1DFE">
        <w:rPr>
          <w:rFonts w:ascii="Times New Roman" w:eastAsia="Times New Roman" w:hAnsi="Times New Roman" w:cs="Times New Roman"/>
          <w:bCs/>
          <w:sz w:val="24"/>
          <w:szCs w:val="24"/>
          <w:lang w:eastAsia="it-IT"/>
        </w:rPr>
        <w:t xml:space="preserve"> della Repubblica 16 aprile 2013, n. 62 (Regolamento recante codice di comportamento dei dipendenti pubblici, a norma dell’articolo 54 del decreto legislativo 30 marzo 2001, n. 165).</w:t>
      </w:r>
    </w:p>
    <w:p w:rsidR="009903C3" w:rsidRPr="007D1DFE" w:rsidRDefault="009903C3"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Da menzionare anche l’Intesa sancita il 24 luglio 2013 in sede di Conferenza unificata, ai sensi dell’art. 1, commi 60 e 61, della legge 190/2012,</w:t>
      </w:r>
      <w:r w:rsidRPr="007D1DFE">
        <w:t xml:space="preserve"> </w:t>
      </w:r>
      <w:r w:rsidRPr="007D1DFE">
        <w:rPr>
          <w:rFonts w:ascii="Times New Roman" w:hAnsi="Times New Roman" w:cs="Times New Roman"/>
          <w:sz w:val="24"/>
          <w:szCs w:val="24"/>
        </w:rPr>
        <w:t>mediante la quale</w:t>
      </w:r>
      <w:r w:rsidRPr="007D1DFE">
        <w:rPr>
          <w:rFonts w:ascii="Times New Roman" w:hAnsi="Times New Roman" w:cs="Times New Roman"/>
        </w:rPr>
        <w:t xml:space="preserve"> </w:t>
      </w:r>
      <w:r w:rsidRPr="007D1DFE">
        <w:rPr>
          <w:rFonts w:ascii="Times New Roman" w:hAnsi="Times New Roman" w:cs="Times New Roman"/>
          <w:sz w:val="24"/>
          <w:szCs w:val="24"/>
        </w:rPr>
        <w:t>vennero</w:t>
      </w:r>
      <w:r w:rsidRPr="007D1DFE">
        <w:rPr>
          <w:sz w:val="24"/>
          <w:szCs w:val="24"/>
        </w:rPr>
        <w:t xml:space="preserve"> </w:t>
      </w:r>
      <w:r w:rsidRPr="007D1DFE">
        <w:rPr>
          <w:rFonts w:ascii="Times New Roman" w:eastAsia="Times New Roman" w:hAnsi="Times New Roman" w:cs="Times New Roman"/>
          <w:bCs/>
          <w:sz w:val="24"/>
          <w:szCs w:val="24"/>
          <w:lang w:eastAsia="it-IT"/>
        </w:rPr>
        <w:t xml:space="preserve">previsti una serie di adempimenti da parte delle amministrazioni regionali e locali – menzionati nelle edizioni precedenti del PTPC - nella fase di prima applicazione della suddetta legge.  </w:t>
      </w:r>
    </w:p>
    <w:p w:rsidR="00D865AD" w:rsidRPr="007D1DFE" w:rsidRDefault="009903C3" w:rsidP="007D1DFE">
      <w:pPr>
        <w:spacing w:line="240" w:lineRule="auto"/>
        <w:ind w:firstLine="708"/>
        <w:jc w:val="both"/>
        <w:rPr>
          <w:rFonts w:ascii="Times New Roman" w:eastAsia="Times New Roman" w:hAnsi="Times New Roman" w:cs="Times New Roman"/>
          <w:i/>
          <w:sz w:val="24"/>
          <w:szCs w:val="24"/>
          <w:lang w:eastAsia="it-IT"/>
        </w:rPr>
      </w:pPr>
      <w:r w:rsidRPr="007D1DFE">
        <w:rPr>
          <w:rFonts w:ascii="Times New Roman" w:eastAsia="Times New Roman" w:hAnsi="Times New Roman" w:cs="Times New Roman"/>
          <w:sz w:val="24"/>
          <w:szCs w:val="24"/>
          <w:lang w:eastAsia="it-IT"/>
        </w:rPr>
        <w:lastRenderedPageBreak/>
        <w:t xml:space="preserve">La legge 190/2012 è stata poi oggetto di continue modifiche </w:t>
      </w:r>
      <w:r w:rsidRPr="007D1DFE">
        <w:rPr>
          <w:rFonts w:ascii="Times New Roman" w:eastAsia="Times New Roman" w:hAnsi="Times New Roman" w:cs="Times New Roman"/>
          <w:sz w:val="24"/>
          <w:szCs w:val="24"/>
          <w:vertAlign w:val="superscript"/>
          <w:lang w:eastAsia="it-IT"/>
        </w:rPr>
        <w:footnoteReference w:id="3"/>
      </w:r>
      <w:r w:rsidRPr="007D1DFE">
        <w:rPr>
          <w:rFonts w:ascii="Times New Roman" w:eastAsia="Times New Roman" w:hAnsi="Times New Roman" w:cs="Times New Roman"/>
          <w:sz w:val="24"/>
          <w:szCs w:val="24"/>
          <w:lang w:eastAsia="it-IT"/>
        </w:rPr>
        <w:t xml:space="preserve">: quelle più </w:t>
      </w:r>
      <w:r w:rsidR="005142AF" w:rsidRPr="007D1DFE">
        <w:rPr>
          <w:rFonts w:ascii="Times New Roman" w:eastAsia="Times New Roman" w:hAnsi="Times New Roman" w:cs="Times New Roman"/>
          <w:sz w:val="24"/>
          <w:szCs w:val="24"/>
          <w:lang w:eastAsia="it-IT"/>
        </w:rPr>
        <w:t xml:space="preserve">rilevanti </w:t>
      </w:r>
      <w:r w:rsidRPr="007D1DFE">
        <w:rPr>
          <w:rFonts w:ascii="Times New Roman" w:eastAsia="Times New Roman" w:hAnsi="Times New Roman" w:cs="Times New Roman"/>
          <w:sz w:val="24"/>
          <w:szCs w:val="24"/>
          <w:lang w:eastAsia="it-IT"/>
        </w:rPr>
        <w:t>sono state apportate dal d.lgs. 97/2016</w:t>
      </w:r>
      <w:r w:rsidR="005142AF" w:rsidRPr="007D1DFE">
        <w:rPr>
          <w:rFonts w:ascii="Times New Roman" w:eastAsia="Times New Roman" w:hAnsi="Times New Roman" w:cs="Times New Roman"/>
          <w:sz w:val="24"/>
          <w:szCs w:val="24"/>
          <w:lang w:eastAsia="it-IT"/>
        </w:rPr>
        <w:t xml:space="preserve"> </w:t>
      </w:r>
      <w:r w:rsidR="000612D3" w:rsidRPr="007D1DFE">
        <w:rPr>
          <w:rFonts w:ascii="Times New Roman" w:eastAsia="Times New Roman" w:hAnsi="Times New Roman" w:cs="Times New Roman"/>
          <w:sz w:val="24"/>
          <w:szCs w:val="24"/>
          <w:lang w:eastAsia="it-IT"/>
        </w:rPr>
        <w:t xml:space="preserve">e l’ultima in ordine di tempo è quella derivata dalla </w:t>
      </w:r>
      <w:r w:rsidR="00AD1DFD" w:rsidRPr="007D1DFE">
        <w:rPr>
          <w:rFonts w:ascii="Times New Roman" w:eastAsia="Times New Roman" w:hAnsi="Times New Roman" w:cs="Times New Roman"/>
          <w:sz w:val="24"/>
          <w:szCs w:val="24"/>
          <w:lang w:eastAsia="it-IT"/>
        </w:rPr>
        <w:t>novella al Codice degli Appalti, decreto legislativo 19 aprile 2017, n. 56</w:t>
      </w:r>
      <w:r w:rsidR="00D865AD" w:rsidRPr="007D1DFE">
        <w:rPr>
          <w:rFonts w:ascii="Times New Roman" w:eastAsia="Times New Roman" w:hAnsi="Times New Roman" w:cs="Times New Roman"/>
          <w:i/>
          <w:sz w:val="24"/>
          <w:szCs w:val="24"/>
          <w:lang w:eastAsia="it-IT"/>
        </w:rPr>
        <w:t>.</w:t>
      </w:r>
    </w:p>
    <w:p w:rsidR="00B40C11" w:rsidRPr="007D1DFE" w:rsidRDefault="008C7596"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Appare opportuno poi ricordare che </w:t>
      </w:r>
      <w:r w:rsidR="002B1D46" w:rsidRPr="007D1DFE">
        <w:rPr>
          <w:rFonts w:ascii="Times New Roman" w:eastAsia="Times New Roman" w:hAnsi="Times New Roman" w:cs="Times New Roman"/>
          <w:sz w:val="24"/>
          <w:szCs w:val="24"/>
          <w:lang w:eastAsia="it-IT"/>
        </w:rPr>
        <w:t>con legge 30 novembre 2017, n. 179 (</w:t>
      </w:r>
      <w:r w:rsidR="002B1D46" w:rsidRPr="007D1DFE">
        <w:rPr>
          <w:rFonts w:ascii="Times New Roman" w:eastAsia="Times New Roman" w:hAnsi="Times New Roman" w:cs="Times New Roman"/>
          <w:i/>
          <w:sz w:val="24"/>
          <w:szCs w:val="24"/>
          <w:lang w:eastAsia="it-IT"/>
        </w:rPr>
        <w:t>Disposizioni per la tutela degli autori di segnalazioni di reati o irregolarità di cui siano venuti a conoscenza nell'ambito di un rapporto di lavoro pubblico o privato</w:t>
      </w:r>
      <w:r w:rsidR="002B1D46" w:rsidRPr="007D1DFE">
        <w:rPr>
          <w:rFonts w:ascii="Times New Roman" w:eastAsia="Times New Roman" w:hAnsi="Times New Roman" w:cs="Times New Roman"/>
          <w:sz w:val="24"/>
          <w:szCs w:val="24"/>
          <w:lang w:eastAsia="it-IT"/>
        </w:rPr>
        <w:t xml:space="preserve">) </w:t>
      </w:r>
      <w:r w:rsidR="00B40C11" w:rsidRPr="007D1DFE">
        <w:rPr>
          <w:rFonts w:ascii="Times New Roman" w:eastAsia="Times New Roman" w:hAnsi="Times New Roman" w:cs="Times New Roman"/>
          <w:sz w:val="24"/>
          <w:szCs w:val="24"/>
          <w:lang w:eastAsia="it-IT"/>
        </w:rPr>
        <w:t xml:space="preserve">il Parlamento ha approvato una rilevante riforma dell’istituto del </w:t>
      </w:r>
      <w:proofErr w:type="spellStart"/>
      <w:r w:rsidR="00B40C11" w:rsidRPr="007D1DFE">
        <w:rPr>
          <w:rFonts w:ascii="Times New Roman" w:eastAsia="Times New Roman" w:hAnsi="Times New Roman" w:cs="Times New Roman"/>
          <w:i/>
          <w:sz w:val="24"/>
          <w:szCs w:val="24"/>
          <w:lang w:eastAsia="it-IT"/>
        </w:rPr>
        <w:t>whistleblowing</w:t>
      </w:r>
      <w:proofErr w:type="spellEnd"/>
      <w:r w:rsidR="00B40C11" w:rsidRPr="007D1DFE">
        <w:rPr>
          <w:rFonts w:ascii="Times New Roman" w:eastAsia="Times New Roman" w:hAnsi="Times New Roman" w:cs="Times New Roman"/>
          <w:i/>
          <w:sz w:val="24"/>
          <w:szCs w:val="24"/>
          <w:lang w:eastAsia="it-IT"/>
        </w:rPr>
        <w:t xml:space="preserve">, </w:t>
      </w:r>
      <w:r w:rsidR="00B40C11" w:rsidRPr="007D1DFE">
        <w:rPr>
          <w:rFonts w:ascii="Times New Roman" w:eastAsia="Times New Roman" w:hAnsi="Times New Roman" w:cs="Times New Roman"/>
          <w:sz w:val="24"/>
          <w:szCs w:val="24"/>
          <w:lang w:eastAsia="it-IT"/>
        </w:rPr>
        <w:t xml:space="preserve">introdotto dalla legge 190, i cui contenuti sono </w:t>
      </w:r>
      <w:r w:rsidR="00980AEB" w:rsidRPr="007D1DFE">
        <w:rPr>
          <w:rFonts w:ascii="Times New Roman" w:eastAsia="Times New Roman" w:hAnsi="Times New Roman" w:cs="Times New Roman"/>
          <w:sz w:val="24"/>
          <w:szCs w:val="24"/>
          <w:lang w:eastAsia="it-IT"/>
        </w:rPr>
        <w:t>menzionati nel paragrafo del presente PTPC relativo alla tutela dei dipendenti che segnalano illeciti.</w:t>
      </w:r>
    </w:p>
    <w:p w:rsidR="0072290E" w:rsidRPr="007D1DFE" w:rsidRDefault="00EF59A1"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r>
      <w:r w:rsidR="0072290E" w:rsidRPr="007D1DFE">
        <w:rPr>
          <w:rFonts w:ascii="Times New Roman" w:eastAsia="Times New Roman" w:hAnsi="Times New Roman" w:cs="Times New Roman"/>
          <w:sz w:val="24"/>
          <w:szCs w:val="24"/>
          <w:lang w:eastAsia="it-IT"/>
        </w:rPr>
        <w:t xml:space="preserve">Il 25 maggio 2018 </w:t>
      </w:r>
      <w:r w:rsidR="00CC311B" w:rsidRPr="007D1DFE">
        <w:rPr>
          <w:rFonts w:ascii="Times New Roman" w:eastAsia="Times New Roman" w:hAnsi="Times New Roman" w:cs="Times New Roman"/>
          <w:sz w:val="24"/>
          <w:szCs w:val="24"/>
          <w:lang w:eastAsia="it-IT"/>
        </w:rPr>
        <w:t>ha trovato applicazione in tutti gli Stati membri dell’Unione Europea</w:t>
      </w:r>
      <w:r w:rsidR="0072290E" w:rsidRPr="007D1DFE">
        <w:rPr>
          <w:rFonts w:ascii="Times New Roman" w:eastAsia="Times New Roman" w:hAnsi="Times New Roman" w:cs="Times New Roman"/>
          <w:sz w:val="24"/>
          <w:szCs w:val="24"/>
          <w:lang w:eastAsia="it-IT"/>
        </w:rPr>
        <w:t xml:space="preserve"> il regolamento (UE) 2016/679 del Parlamento Europeo e del Consiglio</w:t>
      </w:r>
      <w:r w:rsidRPr="007D1DFE">
        <w:rPr>
          <w:rFonts w:ascii="Times New Roman" w:eastAsia="Times New Roman" w:hAnsi="Times New Roman" w:cs="Times New Roman"/>
          <w:sz w:val="24"/>
          <w:szCs w:val="24"/>
          <w:lang w:eastAsia="it-IT"/>
        </w:rPr>
        <w:t xml:space="preserve"> </w:t>
      </w:r>
      <w:r w:rsidR="0072290E" w:rsidRPr="007D1DFE">
        <w:rPr>
          <w:rFonts w:ascii="Times New Roman" w:eastAsia="Times New Roman" w:hAnsi="Times New Roman" w:cs="Times New Roman"/>
          <w:sz w:val="24"/>
          <w:szCs w:val="24"/>
          <w:lang w:eastAsia="it-IT"/>
        </w:rPr>
        <w:t>del 27 aprile 2016 relativo alla prote</w:t>
      </w:r>
      <w:r w:rsidRPr="007D1DFE">
        <w:rPr>
          <w:rFonts w:ascii="Times New Roman" w:eastAsia="Times New Roman" w:hAnsi="Times New Roman" w:cs="Times New Roman"/>
          <w:sz w:val="24"/>
          <w:szCs w:val="24"/>
          <w:lang w:eastAsia="it-IT"/>
        </w:rPr>
        <w:t xml:space="preserve">zione delle persone fisiche con </w:t>
      </w:r>
      <w:r w:rsidR="0072290E" w:rsidRPr="007D1DFE">
        <w:rPr>
          <w:rFonts w:ascii="Times New Roman" w:eastAsia="Times New Roman" w:hAnsi="Times New Roman" w:cs="Times New Roman"/>
          <w:sz w:val="24"/>
          <w:szCs w:val="24"/>
          <w:lang w:eastAsia="it-IT"/>
        </w:rPr>
        <w:t>riguardo al trattamento dei dat</w:t>
      </w:r>
      <w:r w:rsidRPr="007D1DFE">
        <w:rPr>
          <w:rFonts w:ascii="Times New Roman" w:eastAsia="Times New Roman" w:hAnsi="Times New Roman" w:cs="Times New Roman"/>
          <w:sz w:val="24"/>
          <w:szCs w:val="24"/>
          <w:lang w:eastAsia="it-IT"/>
        </w:rPr>
        <w:t xml:space="preserve">i personali, nonché alla libera </w:t>
      </w:r>
      <w:r w:rsidR="0072290E" w:rsidRPr="007D1DFE">
        <w:rPr>
          <w:rFonts w:ascii="Times New Roman" w:eastAsia="Times New Roman" w:hAnsi="Times New Roman" w:cs="Times New Roman"/>
          <w:sz w:val="24"/>
          <w:szCs w:val="24"/>
          <w:lang w:eastAsia="it-IT"/>
        </w:rPr>
        <w:t>circolazione di tali dati e c</w:t>
      </w:r>
      <w:r w:rsidRPr="007D1DFE">
        <w:rPr>
          <w:rFonts w:ascii="Times New Roman" w:eastAsia="Times New Roman" w:hAnsi="Times New Roman" w:cs="Times New Roman"/>
          <w:sz w:val="24"/>
          <w:szCs w:val="24"/>
          <w:lang w:eastAsia="it-IT"/>
        </w:rPr>
        <w:t xml:space="preserve">he abroga la direttiva 95/46/CE </w:t>
      </w:r>
      <w:r w:rsidR="0072290E" w:rsidRPr="007D1DFE">
        <w:rPr>
          <w:rFonts w:ascii="Times New Roman" w:eastAsia="Times New Roman" w:hAnsi="Times New Roman" w:cs="Times New Roman"/>
          <w:sz w:val="24"/>
          <w:szCs w:val="24"/>
          <w:lang w:eastAsia="it-IT"/>
        </w:rPr>
        <w:t>(regolamento generale sulla p</w:t>
      </w:r>
      <w:r w:rsidR="00CC311B" w:rsidRPr="007D1DFE">
        <w:rPr>
          <w:rFonts w:ascii="Times New Roman" w:eastAsia="Times New Roman" w:hAnsi="Times New Roman" w:cs="Times New Roman"/>
          <w:sz w:val="24"/>
          <w:szCs w:val="24"/>
          <w:lang w:eastAsia="it-IT"/>
        </w:rPr>
        <w:t xml:space="preserve">rotezione dei dati), </w:t>
      </w:r>
      <w:r w:rsidRPr="007D1DFE">
        <w:rPr>
          <w:rFonts w:ascii="Times New Roman" w:eastAsia="Times New Roman" w:hAnsi="Times New Roman" w:cs="Times New Roman"/>
          <w:sz w:val="24"/>
          <w:szCs w:val="24"/>
          <w:lang w:eastAsia="it-IT"/>
        </w:rPr>
        <w:t xml:space="preserve">di seguito </w:t>
      </w:r>
      <w:r w:rsidR="0072290E" w:rsidRPr="007D1DFE">
        <w:rPr>
          <w:rFonts w:ascii="Times New Roman" w:eastAsia="Times New Roman" w:hAnsi="Times New Roman" w:cs="Times New Roman"/>
          <w:sz w:val="24"/>
          <w:szCs w:val="24"/>
          <w:lang w:eastAsia="it-IT"/>
        </w:rPr>
        <w:t>denominato RGPD</w:t>
      </w:r>
      <w:r w:rsidR="00CC311B"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cui è seguito </w:t>
      </w:r>
      <w:r w:rsidR="00BB6D95" w:rsidRPr="007D1DFE">
        <w:rPr>
          <w:rFonts w:ascii="Times New Roman" w:eastAsia="Times New Roman" w:hAnsi="Times New Roman" w:cs="Times New Roman"/>
          <w:sz w:val="24"/>
          <w:szCs w:val="24"/>
          <w:lang w:eastAsia="it-IT"/>
        </w:rPr>
        <w:t xml:space="preserve">il decreto legislativo 10 agosto 2018, n.101, entrato in vigore </w:t>
      </w:r>
      <w:r w:rsidRPr="007D1DFE">
        <w:rPr>
          <w:rFonts w:ascii="Times New Roman" w:eastAsia="Times New Roman" w:hAnsi="Times New Roman" w:cs="Times New Roman"/>
          <w:sz w:val="24"/>
          <w:szCs w:val="24"/>
          <w:lang w:eastAsia="it-IT"/>
        </w:rPr>
        <w:t>in data 19 settembre 2018</w:t>
      </w:r>
      <w:r w:rsidR="00BB6D95" w:rsidRPr="007D1DFE">
        <w:rPr>
          <w:rFonts w:ascii="Times New Roman" w:eastAsia="Times New Roman" w:hAnsi="Times New Roman" w:cs="Times New Roman"/>
          <w:sz w:val="24"/>
          <w:szCs w:val="24"/>
          <w:lang w:eastAsia="it-IT"/>
        </w:rPr>
        <w:t xml:space="preserve">, che </w:t>
      </w:r>
      <w:r w:rsidR="00CC311B" w:rsidRPr="007D1DFE">
        <w:rPr>
          <w:rFonts w:ascii="Times New Roman" w:eastAsia="Times New Roman" w:hAnsi="Times New Roman" w:cs="Times New Roman"/>
          <w:sz w:val="24"/>
          <w:szCs w:val="24"/>
          <w:lang w:eastAsia="it-IT"/>
        </w:rPr>
        <w:t xml:space="preserve">ha </w:t>
      </w:r>
      <w:r w:rsidR="00BB6D95" w:rsidRPr="007D1DFE">
        <w:rPr>
          <w:rFonts w:ascii="Times New Roman" w:eastAsia="Times New Roman" w:hAnsi="Times New Roman" w:cs="Times New Roman"/>
          <w:sz w:val="24"/>
          <w:szCs w:val="24"/>
          <w:lang w:eastAsia="it-IT"/>
        </w:rPr>
        <w:t>adegua</w:t>
      </w:r>
      <w:r w:rsidR="00CC311B" w:rsidRPr="007D1DFE">
        <w:rPr>
          <w:rFonts w:ascii="Times New Roman" w:eastAsia="Times New Roman" w:hAnsi="Times New Roman" w:cs="Times New Roman"/>
          <w:sz w:val="24"/>
          <w:szCs w:val="24"/>
          <w:lang w:eastAsia="it-IT"/>
        </w:rPr>
        <w:t>to</w:t>
      </w:r>
      <w:r w:rsidR="00BB6D95" w:rsidRPr="007D1DFE">
        <w:rPr>
          <w:rFonts w:ascii="Times New Roman" w:eastAsia="Times New Roman" w:hAnsi="Times New Roman" w:cs="Times New Roman"/>
          <w:sz w:val="24"/>
          <w:szCs w:val="24"/>
          <w:lang w:eastAsia="it-IT"/>
        </w:rPr>
        <w:t xml:space="preserve"> il </w:t>
      </w:r>
      <w:r w:rsidR="00CC311B" w:rsidRPr="007D1DFE">
        <w:rPr>
          <w:rFonts w:ascii="Times New Roman" w:eastAsia="Times New Roman" w:hAnsi="Times New Roman" w:cs="Times New Roman"/>
          <w:sz w:val="24"/>
          <w:szCs w:val="24"/>
          <w:lang w:eastAsia="it-IT"/>
        </w:rPr>
        <w:t>decreto legislativo 30 giugno 2003, n. 196 (</w:t>
      </w:r>
      <w:r w:rsidR="00BB6D95" w:rsidRPr="007D1DFE">
        <w:rPr>
          <w:rFonts w:ascii="Times New Roman" w:eastAsia="Times New Roman" w:hAnsi="Times New Roman" w:cs="Times New Roman"/>
          <w:sz w:val="24"/>
          <w:szCs w:val="24"/>
          <w:lang w:eastAsia="it-IT"/>
        </w:rPr>
        <w:t>Codice in materia di protezione dei dati personali</w:t>
      </w:r>
      <w:r w:rsidR="00CC311B" w:rsidRPr="007D1DFE">
        <w:rPr>
          <w:rFonts w:ascii="Times New Roman" w:eastAsia="Times New Roman" w:hAnsi="Times New Roman" w:cs="Times New Roman"/>
          <w:sz w:val="24"/>
          <w:szCs w:val="24"/>
          <w:lang w:eastAsia="it-IT"/>
        </w:rPr>
        <w:t xml:space="preserve">) </w:t>
      </w:r>
      <w:r w:rsidR="00BB6D95" w:rsidRPr="007D1DFE">
        <w:rPr>
          <w:rFonts w:ascii="Times New Roman" w:eastAsia="Times New Roman" w:hAnsi="Times New Roman" w:cs="Times New Roman"/>
          <w:sz w:val="24"/>
          <w:szCs w:val="24"/>
          <w:lang w:eastAsia="it-IT"/>
        </w:rPr>
        <w:t>alle disposizioni del</w:t>
      </w:r>
      <w:r w:rsidR="00CC311B" w:rsidRPr="007D1DFE">
        <w:rPr>
          <w:rFonts w:ascii="Times New Roman" w:eastAsia="Times New Roman" w:hAnsi="Times New Roman" w:cs="Times New Roman"/>
          <w:sz w:val="24"/>
          <w:szCs w:val="24"/>
          <w:lang w:eastAsia="it-IT"/>
        </w:rPr>
        <w:t>lo stesso</w:t>
      </w:r>
      <w:r w:rsidR="00BB6D95" w:rsidRPr="007D1DFE">
        <w:rPr>
          <w:rFonts w:ascii="Times New Roman" w:eastAsia="Times New Roman" w:hAnsi="Times New Roman" w:cs="Times New Roman"/>
          <w:sz w:val="24"/>
          <w:szCs w:val="24"/>
          <w:lang w:eastAsia="it-IT"/>
        </w:rPr>
        <w:t xml:space="preserve"> RGPD. Si darà conto nella sezio</w:t>
      </w:r>
      <w:r w:rsidR="00CE3BF4" w:rsidRPr="007D1DFE">
        <w:rPr>
          <w:rFonts w:ascii="Times New Roman" w:eastAsia="Times New Roman" w:hAnsi="Times New Roman" w:cs="Times New Roman"/>
          <w:sz w:val="24"/>
          <w:szCs w:val="24"/>
          <w:lang w:eastAsia="it-IT"/>
        </w:rPr>
        <w:t xml:space="preserve">ne II relativa alla trasparenza </w:t>
      </w:r>
      <w:proofErr w:type="spellStart"/>
      <w:r w:rsidR="00CE3BF4" w:rsidRPr="007D1DFE">
        <w:rPr>
          <w:rFonts w:ascii="Times New Roman" w:eastAsia="Times New Roman" w:hAnsi="Times New Roman" w:cs="Times New Roman"/>
          <w:sz w:val="24"/>
          <w:szCs w:val="24"/>
          <w:lang w:eastAsia="it-IT"/>
        </w:rPr>
        <w:t>dl</w:t>
      </w:r>
      <w:proofErr w:type="spellEnd"/>
      <w:r w:rsidR="00CE3BF4" w:rsidRPr="007D1DFE">
        <w:rPr>
          <w:rFonts w:ascii="Times New Roman" w:eastAsia="Times New Roman" w:hAnsi="Times New Roman" w:cs="Times New Roman"/>
          <w:sz w:val="24"/>
          <w:szCs w:val="24"/>
          <w:lang w:eastAsia="it-IT"/>
        </w:rPr>
        <w:t xml:space="preserve"> percorso intrapreso dal Consiglio regionale per adeguarsi alla nuova normativa in materia di privacy.</w:t>
      </w:r>
      <w:r w:rsidRPr="007D1DFE">
        <w:rPr>
          <w:rFonts w:ascii="Times New Roman" w:eastAsia="Times New Roman" w:hAnsi="Times New Roman" w:cs="Times New Roman"/>
          <w:sz w:val="24"/>
          <w:szCs w:val="24"/>
          <w:lang w:eastAsia="it-IT"/>
        </w:rPr>
        <w:t xml:space="preserve"> </w:t>
      </w:r>
    </w:p>
    <w:p w:rsidR="009903C3" w:rsidRPr="007D1DFE" w:rsidRDefault="00B40C11" w:rsidP="007D1DFE">
      <w:pPr>
        <w:spacing w:line="240" w:lineRule="auto"/>
        <w:ind w:firstLine="708"/>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sz w:val="24"/>
          <w:szCs w:val="24"/>
          <w:lang w:eastAsia="it-IT"/>
        </w:rPr>
        <w:t>Co</w:t>
      </w:r>
      <w:r w:rsidR="008C7596" w:rsidRPr="007D1DFE">
        <w:rPr>
          <w:rFonts w:ascii="Times New Roman" w:eastAsia="Times New Roman" w:hAnsi="Times New Roman" w:cs="Times New Roman"/>
          <w:bCs/>
          <w:sz w:val="24"/>
          <w:szCs w:val="24"/>
          <w:lang w:eastAsia="it-IT"/>
        </w:rPr>
        <w:t xml:space="preserve">me già </w:t>
      </w:r>
      <w:r w:rsidR="008C187E" w:rsidRPr="007D1DFE">
        <w:rPr>
          <w:rFonts w:ascii="Times New Roman" w:eastAsia="Times New Roman" w:hAnsi="Times New Roman" w:cs="Times New Roman"/>
          <w:bCs/>
          <w:sz w:val="24"/>
          <w:szCs w:val="24"/>
          <w:lang w:eastAsia="it-IT"/>
        </w:rPr>
        <w:t>avvenuto per la precedente edizione</w:t>
      </w:r>
      <w:r w:rsidR="009903C3" w:rsidRPr="007D1DFE">
        <w:rPr>
          <w:rFonts w:ascii="Times New Roman" w:eastAsia="Times New Roman" w:hAnsi="Times New Roman" w:cs="Times New Roman"/>
          <w:bCs/>
          <w:sz w:val="24"/>
          <w:szCs w:val="24"/>
          <w:lang w:eastAsia="it-IT"/>
        </w:rPr>
        <w:t xml:space="preserve">, </w:t>
      </w:r>
      <w:r w:rsidR="008C7596" w:rsidRPr="007D1DFE">
        <w:rPr>
          <w:rFonts w:ascii="Times New Roman" w:eastAsia="Times New Roman" w:hAnsi="Times New Roman" w:cs="Times New Roman"/>
          <w:bCs/>
          <w:sz w:val="24"/>
          <w:szCs w:val="24"/>
          <w:lang w:eastAsia="it-IT"/>
        </w:rPr>
        <w:t xml:space="preserve">il presente provvedimento, </w:t>
      </w:r>
      <w:r w:rsidR="009903C3" w:rsidRPr="007D1DFE">
        <w:rPr>
          <w:rFonts w:ascii="Times New Roman" w:eastAsia="Times New Roman" w:hAnsi="Times New Roman" w:cs="Times New Roman"/>
          <w:bCs/>
          <w:sz w:val="24"/>
          <w:szCs w:val="24"/>
          <w:lang w:eastAsia="it-IT"/>
        </w:rPr>
        <w:t xml:space="preserve">in linea con </w:t>
      </w:r>
      <w:r w:rsidR="008C187E" w:rsidRPr="007D1DFE">
        <w:rPr>
          <w:rFonts w:ascii="Times New Roman" w:eastAsia="Times New Roman" w:hAnsi="Times New Roman" w:cs="Times New Roman"/>
          <w:bCs/>
          <w:sz w:val="24"/>
          <w:szCs w:val="24"/>
          <w:lang w:eastAsia="it-IT"/>
        </w:rPr>
        <w:t>quanto previsto d</w:t>
      </w:r>
      <w:r w:rsidR="009903C3" w:rsidRPr="007D1DFE">
        <w:rPr>
          <w:rFonts w:ascii="Times New Roman" w:eastAsia="Times New Roman" w:hAnsi="Times New Roman" w:cs="Times New Roman"/>
          <w:bCs/>
          <w:sz w:val="24"/>
          <w:szCs w:val="24"/>
          <w:lang w:eastAsia="it-IT"/>
        </w:rPr>
        <w:t xml:space="preserve">all’art. 43 del d.lgs. 33/2013, </w:t>
      </w:r>
      <w:r w:rsidR="008C187E" w:rsidRPr="007D1DFE">
        <w:rPr>
          <w:rFonts w:ascii="Times New Roman" w:eastAsia="Times New Roman" w:hAnsi="Times New Roman" w:cs="Times New Roman"/>
          <w:bCs/>
          <w:sz w:val="24"/>
          <w:szCs w:val="24"/>
          <w:lang w:eastAsia="it-IT"/>
        </w:rPr>
        <w:t>contiene in una sezione specifica le prescrizioni per assicurare la trasparenza</w:t>
      </w:r>
      <w:r w:rsidR="009903C3" w:rsidRPr="007D1DFE">
        <w:rPr>
          <w:rFonts w:ascii="Times New Roman" w:eastAsia="Times New Roman" w:hAnsi="Times New Roman" w:cs="Times New Roman"/>
          <w:bCs/>
          <w:sz w:val="24"/>
          <w:szCs w:val="24"/>
          <w:lang w:eastAsia="it-IT"/>
        </w:rPr>
        <w:t xml:space="preserve"> dell’Amministrazione</w:t>
      </w:r>
      <w:r w:rsidR="008C7596" w:rsidRPr="007D1DFE">
        <w:rPr>
          <w:rFonts w:ascii="Times New Roman" w:eastAsia="Times New Roman" w:hAnsi="Times New Roman" w:cs="Times New Roman"/>
          <w:bCs/>
          <w:sz w:val="24"/>
          <w:szCs w:val="24"/>
          <w:lang w:eastAsia="it-IT"/>
        </w:rPr>
        <w:t>.</w:t>
      </w:r>
    </w:p>
    <w:p w:rsidR="009903C3" w:rsidRPr="007D1DFE" w:rsidRDefault="009903C3" w:rsidP="007D1DFE">
      <w:pPr>
        <w:spacing w:line="240" w:lineRule="auto"/>
        <w:ind w:firstLine="540"/>
        <w:jc w:val="both"/>
        <w:rPr>
          <w:rFonts w:ascii="Times New Roman" w:eastAsia="Times New Roman" w:hAnsi="Times New Roman" w:cs="Times New Roman"/>
          <w:bCs/>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bCs/>
          <w:sz w:val="24"/>
          <w:szCs w:val="24"/>
          <w:lang w:eastAsia="it-IT"/>
        </w:rPr>
      </w:pPr>
    </w:p>
    <w:p w:rsidR="009903C3" w:rsidRPr="007D1DFE" w:rsidRDefault="009903C3" w:rsidP="007D1DFE">
      <w:pPr>
        <w:numPr>
          <w:ilvl w:val="1"/>
          <w:numId w:val="11"/>
        </w:numPr>
        <w:spacing w:line="240" w:lineRule="auto"/>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 xml:space="preserve"> Il contesto </w:t>
      </w:r>
      <w:r w:rsidR="004C117C" w:rsidRPr="007D1DFE">
        <w:rPr>
          <w:rFonts w:ascii="Times New Roman" w:eastAsia="Times New Roman" w:hAnsi="Times New Roman" w:cs="Times New Roman"/>
          <w:b/>
          <w:bCs/>
          <w:sz w:val="24"/>
          <w:szCs w:val="24"/>
          <w:lang w:eastAsia="it-IT"/>
        </w:rPr>
        <w:t xml:space="preserve">demografico e </w:t>
      </w:r>
      <w:r w:rsidRPr="007D1DFE">
        <w:rPr>
          <w:rFonts w:ascii="Times New Roman" w:eastAsia="Times New Roman" w:hAnsi="Times New Roman" w:cs="Times New Roman"/>
          <w:b/>
          <w:bCs/>
          <w:sz w:val="24"/>
          <w:szCs w:val="24"/>
          <w:lang w:eastAsia="it-IT"/>
        </w:rPr>
        <w:t>socio economico.</w:t>
      </w:r>
      <w:r w:rsidR="004E2C4C" w:rsidRPr="007D1DFE">
        <w:rPr>
          <w:rFonts w:ascii="Times New Roman" w:eastAsia="Times New Roman" w:hAnsi="Times New Roman" w:cs="Times New Roman"/>
          <w:b/>
          <w:bCs/>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bCs/>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 xml:space="preserve">La popolazione residente nel Lazio, risultata in costante aumento fino al 2015 </w:t>
      </w:r>
      <w:r w:rsidR="00CC311B" w:rsidRPr="007D1DFE">
        <w:rPr>
          <w:rFonts w:ascii="Times New Roman" w:eastAsia="Times New Roman" w:hAnsi="Times New Roman" w:cs="Times New Roman"/>
          <w:bCs/>
          <w:sz w:val="24"/>
          <w:szCs w:val="24"/>
          <w:lang w:eastAsia="it-IT"/>
        </w:rPr>
        <w:t>e</w:t>
      </w:r>
      <w:r w:rsidRPr="007D1DFE">
        <w:rPr>
          <w:rFonts w:ascii="Times New Roman" w:eastAsia="Times New Roman" w:hAnsi="Times New Roman" w:cs="Times New Roman"/>
          <w:bCs/>
          <w:sz w:val="24"/>
          <w:szCs w:val="24"/>
          <w:lang w:eastAsia="it-IT"/>
        </w:rPr>
        <w:t xml:space="preserve"> rimasta pressoché stabile nell’anno </w:t>
      </w:r>
      <w:r w:rsidR="00CC311B" w:rsidRPr="007D1DFE">
        <w:rPr>
          <w:rFonts w:ascii="Times New Roman" w:eastAsia="Times New Roman" w:hAnsi="Times New Roman" w:cs="Times New Roman"/>
          <w:bCs/>
          <w:sz w:val="24"/>
          <w:szCs w:val="24"/>
          <w:lang w:eastAsia="it-IT"/>
        </w:rPr>
        <w:t>2016, ha fatto registrare</w:t>
      </w:r>
      <w:r w:rsidR="007574A5" w:rsidRPr="007D1DFE">
        <w:rPr>
          <w:rFonts w:ascii="Times New Roman" w:eastAsia="Times New Roman" w:hAnsi="Times New Roman" w:cs="Times New Roman"/>
          <w:bCs/>
          <w:sz w:val="24"/>
          <w:szCs w:val="24"/>
          <w:lang w:eastAsia="it-IT"/>
        </w:rPr>
        <w:t xml:space="preserve"> poi una legger</w:t>
      </w:r>
      <w:r w:rsidR="008F2E94" w:rsidRPr="007D1DFE">
        <w:rPr>
          <w:rFonts w:ascii="Times New Roman" w:eastAsia="Times New Roman" w:hAnsi="Times New Roman" w:cs="Times New Roman"/>
          <w:bCs/>
          <w:sz w:val="24"/>
          <w:szCs w:val="24"/>
          <w:lang w:eastAsia="it-IT"/>
        </w:rPr>
        <w:t>a</w:t>
      </w:r>
      <w:r w:rsidR="007574A5" w:rsidRPr="007D1DFE">
        <w:rPr>
          <w:rFonts w:ascii="Times New Roman" w:eastAsia="Times New Roman" w:hAnsi="Times New Roman" w:cs="Times New Roman"/>
          <w:bCs/>
          <w:sz w:val="24"/>
          <w:szCs w:val="24"/>
          <w:lang w:eastAsia="it-IT"/>
        </w:rPr>
        <w:t xml:space="preserve"> </w:t>
      </w:r>
      <w:r w:rsidR="00CC311B" w:rsidRPr="007D1DFE">
        <w:rPr>
          <w:rFonts w:ascii="Times New Roman" w:eastAsia="Times New Roman" w:hAnsi="Times New Roman" w:cs="Times New Roman"/>
          <w:bCs/>
          <w:sz w:val="24"/>
          <w:szCs w:val="24"/>
          <w:lang w:eastAsia="it-IT"/>
        </w:rPr>
        <w:t>decremento</w:t>
      </w:r>
      <w:r w:rsidR="007574A5" w:rsidRPr="007D1DFE">
        <w:rPr>
          <w:rFonts w:ascii="Times New Roman" w:eastAsia="Times New Roman" w:hAnsi="Times New Roman" w:cs="Times New Roman"/>
          <w:bCs/>
          <w:sz w:val="24"/>
          <w:szCs w:val="24"/>
          <w:lang w:eastAsia="it-IT"/>
        </w:rPr>
        <w:t xml:space="preserve"> nel 2017</w:t>
      </w:r>
      <w:r w:rsidR="00CC311B" w:rsidRPr="007D1DFE">
        <w:rPr>
          <w:rFonts w:ascii="Times New Roman" w:eastAsia="Times New Roman" w:hAnsi="Times New Roman" w:cs="Times New Roman"/>
          <w:bCs/>
          <w:sz w:val="24"/>
          <w:szCs w:val="24"/>
          <w:lang w:eastAsia="it-IT"/>
        </w:rPr>
        <w:t>,</w:t>
      </w:r>
      <w:r w:rsidR="007574A5" w:rsidRPr="007D1DFE">
        <w:rPr>
          <w:rFonts w:ascii="Times New Roman" w:eastAsia="Times New Roman" w:hAnsi="Times New Roman" w:cs="Times New Roman"/>
          <w:bCs/>
          <w:sz w:val="24"/>
          <w:szCs w:val="24"/>
          <w:lang w:eastAsia="it-IT"/>
        </w:rPr>
        <w:t xml:space="preserve"> </w:t>
      </w:r>
      <w:r w:rsidRPr="007D1DFE">
        <w:rPr>
          <w:rFonts w:ascii="Times New Roman" w:eastAsia="Times New Roman" w:hAnsi="Times New Roman" w:cs="Times New Roman"/>
          <w:bCs/>
          <w:sz w:val="24"/>
          <w:szCs w:val="24"/>
          <w:lang w:eastAsia="it-IT"/>
        </w:rPr>
        <w:t xml:space="preserve">con </w:t>
      </w:r>
      <w:r w:rsidR="008F2E94" w:rsidRPr="007D1DFE">
        <w:rPr>
          <w:rFonts w:ascii="Times New Roman" w:eastAsia="Times New Roman" w:hAnsi="Times New Roman" w:cs="Times New Roman"/>
          <w:b/>
          <w:bCs/>
          <w:sz w:val="24"/>
          <w:szCs w:val="24"/>
          <w:lang w:eastAsia="it-IT"/>
        </w:rPr>
        <w:t>5.896.693</w:t>
      </w:r>
      <w:r w:rsidRPr="007D1DFE">
        <w:rPr>
          <w:rFonts w:ascii="Times New Roman" w:eastAsia="Times New Roman" w:hAnsi="Times New Roman" w:cs="Times New Roman"/>
          <w:bCs/>
          <w:sz w:val="24"/>
          <w:szCs w:val="24"/>
          <w:lang w:eastAsia="it-IT"/>
        </w:rPr>
        <w:t xml:space="preserve"> residenti (dati rilevati dall’ISTAT al </w:t>
      </w:r>
      <w:r w:rsidR="00902A90" w:rsidRPr="007D1DFE">
        <w:rPr>
          <w:rFonts w:ascii="Times New Roman" w:eastAsia="Times New Roman" w:hAnsi="Times New Roman" w:cs="Times New Roman"/>
          <w:bCs/>
          <w:sz w:val="24"/>
          <w:szCs w:val="24"/>
          <w:lang w:eastAsia="it-IT"/>
        </w:rPr>
        <w:t>3</w:t>
      </w:r>
      <w:r w:rsidRPr="007D1DFE">
        <w:rPr>
          <w:rFonts w:ascii="Times New Roman" w:eastAsia="Times New Roman" w:hAnsi="Times New Roman" w:cs="Times New Roman"/>
          <w:bCs/>
          <w:sz w:val="24"/>
          <w:szCs w:val="24"/>
          <w:lang w:eastAsia="it-IT"/>
        </w:rPr>
        <w:t xml:space="preserve">1 </w:t>
      </w:r>
      <w:r w:rsidR="00902A90" w:rsidRPr="007D1DFE">
        <w:rPr>
          <w:rFonts w:ascii="Times New Roman" w:eastAsia="Times New Roman" w:hAnsi="Times New Roman" w:cs="Times New Roman"/>
          <w:bCs/>
          <w:sz w:val="24"/>
          <w:szCs w:val="24"/>
          <w:lang w:eastAsia="it-IT"/>
        </w:rPr>
        <w:t>dicembre</w:t>
      </w:r>
      <w:r w:rsidR="008F2E94" w:rsidRPr="007D1DFE">
        <w:rPr>
          <w:rFonts w:ascii="Times New Roman" w:eastAsia="Times New Roman" w:hAnsi="Times New Roman" w:cs="Times New Roman"/>
          <w:bCs/>
          <w:sz w:val="24"/>
          <w:szCs w:val="24"/>
          <w:lang w:eastAsia="it-IT"/>
        </w:rPr>
        <w:t xml:space="preserve"> 2017</w:t>
      </w:r>
      <w:r w:rsidRPr="007D1DFE">
        <w:rPr>
          <w:rFonts w:ascii="Times New Roman" w:eastAsia="Times New Roman" w:hAnsi="Times New Roman" w:cs="Times New Roman"/>
          <w:bCs/>
          <w:sz w:val="24"/>
          <w:szCs w:val="24"/>
          <w:lang w:eastAsia="it-IT"/>
        </w:rPr>
        <w:t>)</w:t>
      </w:r>
      <w:r w:rsidR="004C117C" w:rsidRPr="007D1DFE">
        <w:rPr>
          <w:rFonts w:ascii="Times New Roman" w:eastAsia="Times New Roman" w:hAnsi="Times New Roman" w:cs="Times New Roman"/>
          <w:bCs/>
          <w:sz w:val="24"/>
          <w:szCs w:val="24"/>
          <w:lang w:eastAsia="it-IT"/>
        </w:rPr>
        <w:t xml:space="preserve">, così distribuiti: provincia di </w:t>
      </w:r>
      <w:r w:rsidR="004C117C" w:rsidRPr="007D1DFE">
        <w:rPr>
          <w:rFonts w:ascii="Times New Roman" w:eastAsia="Times New Roman" w:hAnsi="Times New Roman" w:cs="Times New Roman"/>
          <w:b/>
          <w:bCs/>
          <w:sz w:val="24"/>
          <w:szCs w:val="24"/>
          <w:lang w:eastAsia="it-IT"/>
        </w:rPr>
        <w:t>Frosinone</w:t>
      </w:r>
      <w:r w:rsidR="004C117C" w:rsidRPr="007D1DFE">
        <w:rPr>
          <w:rFonts w:ascii="Times New Roman" w:eastAsia="Times New Roman" w:hAnsi="Times New Roman" w:cs="Times New Roman"/>
          <w:bCs/>
          <w:sz w:val="24"/>
          <w:szCs w:val="24"/>
          <w:lang w:eastAsia="it-IT"/>
        </w:rPr>
        <w:t xml:space="preserve"> </w:t>
      </w:r>
      <w:r w:rsidR="008F2E94" w:rsidRPr="007D1DFE">
        <w:rPr>
          <w:rFonts w:ascii="Times New Roman" w:eastAsia="Times New Roman" w:hAnsi="Times New Roman" w:cs="Times New Roman"/>
          <w:b/>
          <w:bCs/>
          <w:sz w:val="24"/>
          <w:szCs w:val="24"/>
          <w:lang w:eastAsia="it-IT"/>
        </w:rPr>
        <w:t>490.632; provincia di Latina 575</w:t>
      </w:r>
      <w:r w:rsidR="004C117C" w:rsidRPr="007D1DFE">
        <w:rPr>
          <w:rFonts w:ascii="Times New Roman" w:eastAsia="Times New Roman" w:hAnsi="Times New Roman" w:cs="Times New Roman"/>
          <w:b/>
          <w:bCs/>
          <w:sz w:val="24"/>
          <w:szCs w:val="24"/>
          <w:lang w:eastAsia="it-IT"/>
        </w:rPr>
        <w:t>.</w:t>
      </w:r>
      <w:r w:rsidR="008F2E94" w:rsidRPr="007D1DFE">
        <w:rPr>
          <w:rFonts w:ascii="Times New Roman" w:eastAsia="Times New Roman" w:hAnsi="Times New Roman" w:cs="Times New Roman"/>
          <w:b/>
          <w:bCs/>
          <w:sz w:val="24"/>
          <w:szCs w:val="24"/>
          <w:lang w:eastAsia="it-IT"/>
        </w:rPr>
        <w:t>577</w:t>
      </w:r>
      <w:r w:rsidR="004C117C" w:rsidRPr="007D1DFE">
        <w:rPr>
          <w:rFonts w:ascii="Times New Roman" w:eastAsia="Times New Roman" w:hAnsi="Times New Roman" w:cs="Times New Roman"/>
          <w:b/>
          <w:bCs/>
          <w:sz w:val="24"/>
          <w:szCs w:val="24"/>
          <w:lang w:eastAsia="it-IT"/>
        </w:rPr>
        <w:t>; Città metropolitana di Roma Capitale</w:t>
      </w:r>
      <w:r w:rsidR="004C117C" w:rsidRPr="007D1DFE">
        <w:rPr>
          <w:rFonts w:ascii="Arial" w:hAnsi="Arial" w:cs="Arial"/>
          <w:b/>
          <w:bCs/>
          <w:sz w:val="20"/>
          <w:szCs w:val="20"/>
          <w:shd w:val="clear" w:color="auto" w:fill="FFFFFF"/>
        </w:rPr>
        <w:t xml:space="preserve"> </w:t>
      </w:r>
      <w:r w:rsidR="008F2E94" w:rsidRPr="007D1DFE">
        <w:rPr>
          <w:rFonts w:ascii="Times New Roman" w:eastAsia="Times New Roman" w:hAnsi="Times New Roman" w:cs="Times New Roman"/>
          <w:b/>
          <w:bCs/>
          <w:sz w:val="24"/>
          <w:szCs w:val="24"/>
          <w:lang w:eastAsia="it-IT"/>
        </w:rPr>
        <w:t>4.355.725</w:t>
      </w:r>
      <w:r w:rsidR="004C117C" w:rsidRPr="007D1DFE">
        <w:rPr>
          <w:rFonts w:ascii="Times New Roman" w:eastAsia="Times New Roman" w:hAnsi="Times New Roman" w:cs="Times New Roman"/>
          <w:b/>
          <w:bCs/>
          <w:sz w:val="24"/>
          <w:szCs w:val="24"/>
          <w:lang w:eastAsia="it-IT"/>
        </w:rPr>
        <w:t xml:space="preserve">; </w:t>
      </w:r>
      <w:r w:rsidR="00E76605" w:rsidRPr="007D1DFE">
        <w:rPr>
          <w:rFonts w:ascii="Times New Roman" w:eastAsia="Times New Roman" w:hAnsi="Times New Roman" w:cs="Times New Roman"/>
          <w:b/>
          <w:bCs/>
          <w:sz w:val="24"/>
          <w:szCs w:val="24"/>
          <w:lang w:eastAsia="it-IT"/>
        </w:rPr>
        <w:t>provincia di</w:t>
      </w:r>
      <w:r w:rsidR="004C117C" w:rsidRPr="007D1DFE">
        <w:rPr>
          <w:rFonts w:ascii="Times New Roman" w:eastAsia="Times New Roman" w:hAnsi="Times New Roman" w:cs="Times New Roman"/>
          <w:b/>
          <w:bCs/>
          <w:sz w:val="24"/>
          <w:szCs w:val="24"/>
          <w:lang w:eastAsia="it-IT"/>
        </w:rPr>
        <w:t xml:space="preserve"> </w:t>
      </w:r>
      <w:r w:rsidR="00E76605" w:rsidRPr="007D1DFE">
        <w:rPr>
          <w:rFonts w:ascii="Times New Roman" w:eastAsia="Times New Roman" w:hAnsi="Times New Roman" w:cs="Times New Roman"/>
          <w:b/>
          <w:bCs/>
          <w:sz w:val="24"/>
          <w:szCs w:val="24"/>
          <w:lang w:eastAsia="it-IT"/>
        </w:rPr>
        <w:t xml:space="preserve">Rieti </w:t>
      </w:r>
      <w:r w:rsidR="008F2E94" w:rsidRPr="007D1DFE">
        <w:rPr>
          <w:rFonts w:ascii="Times New Roman" w:eastAsia="Times New Roman" w:hAnsi="Times New Roman" w:cs="Times New Roman"/>
          <w:b/>
          <w:bCs/>
          <w:sz w:val="24"/>
          <w:szCs w:val="24"/>
          <w:lang w:eastAsia="it-IT"/>
        </w:rPr>
        <w:t>156.554; provincia di Viterbo 318</w:t>
      </w:r>
      <w:r w:rsidR="009E356F" w:rsidRPr="007D1DFE">
        <w:rPr>
          <w:rFonts w:ascii="Times New Roman" w:eastAsia="Times New Roman" w:hAnsi="Times New Roman" w:cs="Times New Roman"/>
          <w:b/>
          <w:bCs/>
          <w:sz w:val="24"/>
          <w:szCs w:val="24"/>
          <w:lang w:eastAsia="it-IT"/>
        </w:rPr>
        <w:t>.</w:t>
      </w:r>
      <w:r w:rsidR="008F2E94" w:rsidRPr="007D1DFE">
        <w:rPr>
          <w:rFonts w:ascii="Times New Roman" w:eastAsia="Times New Roman" w:hAnsi="Times New Roman" w:cs="Times New Roman"/>
          <w:b/>
          <w:bCs/>
          <w:sz w:val="24"/>
          <w:szCs w:val="24"/>
          <w:lang w:eastAsia="it-IT"/>
        </w:rPr>
        <w:t>205</w:t>
      </w:r>
      <w:r w:rsidR="009E356F" w:rsidRPr="007D1DFE">
        <w:rPr>
          <w:rFonts w:ascii="Times New Roman" w:eastAsia="Times New Roman" w:hAnsi="Times New Roman" w:cs="Times New Roman"/>
          <w:b/>
          <w:bCs/>
          <w:sz w:val="24"/>
          <w:szCs w:val="24"/>
          <w:lang w:eastAsia="it-IT"/>
        </w:rPr>
        <w:t>.</w:t>
      </w:r>
    </w:p>
    <w:p w:rsidR="00902A90" w:rsidRPr="007D1DFE" w:rsidRDefault="00902A90"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r>
      <w:r w:rsidR="008F2E94" w:rsidRPr="007D1DFE">
        <w:rPr>
          <w:rFonts w:ascii="Times New Roman" w:eastAsia="Times New Roman" w:hAnsi="Times New Roman" w:cs="Times New Roman"/>
          <w:bCs/>
          <w:sz w:val="24"/>
          <w:szCs w:val="24"/>
          <w:lang w:eastAsia="it-IT"/>
        </w:rPr>
        <w:t xml:space="preserve">Il saldo negativo </w:t>
      </w:r>
      <w:r w:rsidRPr="007D1DFE">
        <w:rPr>
          <w:rFonts w:ascii="Times New Roman" w:eastAsia="Times New Roman" w:hAnsi="Times New Roman" w:cs="Times New Roman"/>
          <w:bCs/>
          <w:sz w:val="24"/>
          <w:szCs w:val="24"/>
          <w:lang w:eastAsia="it-IT"/>
        </w:rPr>
        <w:t>delle nascite rispetto ai decessi</w:t>
      </w:r>
      <w:r w:rsidR="00D12417" w:rsidRPr="007D1DFE">
        <w:rPr>
          <w:rFonts w:ascii="Times New Roman" w:eastAsia="Times New Roman" w:hAnsi="Times New Roman" w:cs="Times New Roman"/>
          <w:bCs/>
          <w:sz w:val="24"/>
          <w:szCs w:val="24"/>
          <w:lang w:eastAsia="it-IT"/>
        </w:rPr>
        <w:t>,</w:t>
      </w:r>
      <w:r w:rsidRPr="007D1DFE">
        <w:rPr>
          <w:rFonts w:ascii="Times New Roman" w:eastAsia="Times New Roman" w:hAnsi="Times New Roman" w:cs="Times New Roman"/>
          <w:bCs/>
          <w:sz w:val="24"/>
          <w:szCs w:val="24"/>
          <w:lang w:eastAsia="it-IT"/>
        </w:rPr>
        <w:t xml:space="preserve"> </w:t>
      </w:r>
      <w:r w:rsidR="008F2E94" w:rsidRPr="007D1DFE">
        <w:rPr>
          <w:rFonts w:ascii="Times New Roman" w:eastAsia="Times New Roman" w:hAnsi="Times New Roman" w:cs="Times New Roman"/>
          <w:bCs/>
          <w:sz w:val="24"/>
          <w:szCs w:val="24"/>
          <w:lang w:eastAsia="it-IT"/>
        </w:rPr>
        <w:t xml:space="preserve">riscontrato a partire dal 2012, è aumentato sensibilmente, </w:t>
      </w:r>
      <w:r w:rsidRPr="007D1DFE">
        <w:rPr>
          <w:rFonts w:ascii="Times New Roman" w:eastAsia="Times New Roman" w:hAnsi="Times New Roman" w:cs="Times New Roman"/>
          <w:bCs/>
          <w:sz w:val="24"/>
          <w:szCs w:val="24"/>
          <w:lang w:eastAsia="it-IT"/>
        </w:rPr>
        <w:t>in particolare, nell’anno 201</w:t>
      </w:r>
      <w:r w:rsidR="008F2E94" w:rsidRPr="007D1DFE">
        <w:rPr>
          <w:rFonts w:ascii="Times New Roman" w:eastAsia="Times New Roman" w:hAnsi="Times New Roman" w:cs="Times New Roman"/>
          <w:bCs/>
          <w:sz w:val="24"/>
          <w:szCs w:val="24"/>
          <w:lang w:eastAsia="it-IT"/>
        </w:rPr>
        <w:t>7</w:t>
      </w:r>
      <w:r w:rsidRPr="007D1DFE">
        <w:rPr>
          <w:rFonts w:ascii="Times New Roman" w:eastAsia="Times New Roman" w:hAnsi="Times New Roman" w:cs="Times New Roman"/>
          <w:bCs/>
          <w:sz w:val="24"/>
          <w:szCs w:val="24"/>
          <w:lang w:eastAsia="it-IT"/>
        </w:rPr>
        <w:t xml:space="preserve">, </w:t>
      </w:r>
      <w:r w:rsidR="00D12417" w:rsidRPr="007D1DFE">
        <w:rPr>
          <w:rFonts w:ascii="Times New Roman" w:eastAsia="Times New Roman" w:hAnsi="Times New Roman" w:cs="Times New Roman"/>
          <w:bCs/>
          <w:sz w:val="24"/>
          <w:szCs w:val="24"/>
          <w:lang w:eastAsia="it-IT"/>
        </w:rPr>
        <w:t xml:space="preserve">anno in cui </w:t>
      </w:r>
      <w:r w:rsidRPr="007D1DFE">
        <w:rPr>
          <w:rFonts w:ascii="Times New Roman" w:eastAsia="Times New Roman" w:hAnsi="Times New Roman" w:cs="Times New Roman"/>
          <w:bCs/>
          <w:sz w:val="24"/>
          <w:szCs w:val="24"/>
          <w:lang w:eastAsia="it-IT"/>
        </w:rPr>
        <w:t xml:space="preserve">le prime risultano essere state </w:t>
      </w:r>
      <w:r w:rsidR="008F2E94" w:rsidRPr="007D1DFE">
        <w:rPr>
          <w:rFonts w:ascii="Times New Roman" w:eastAsia="Times New Roman" w:hAnsi="Times New Roman" w:cs="Times New Roman"/>
          <w:bCs/>
          <w:sz w:val="24"/>
          <w:szCs w:val="24"/>
          <w:lang w:eastAsia="it-IT"/>
        </w:rPr>
        <w:t xml:space="preserve">44.573 </w:t>
      </w:r>
      <w:r w:rsidRPr="007D1DFE">
        <w:rPr>
          <w:rFonts w:ascii="Times New Roman" w:eastAsia="Times New Roman" w:hAnsi="Times New Roman" w:cs="Times New Roman"/>
          <w:bCs/>
          <w:sz w:val="24"/>
          <w:szCs w:val="24"/>
          <w:lang w:eastAsia="it-IT"/>
        </w:rPr>
        <w:t xml:space="preserve">a fronte di </w:t>
      </w:r>
      <w:r w:rsidR="008F2E94" w:rsidRPr="007D1DFE">
        <w:rPr>
          <w:rFonts w:ascii="Times New Roman" w:eastAsia="Times New Roman" w:hAnsi="Times New Roman" w:cs="Times New Roman"/>
          <w:bCs/>
          <w:sz w:val="24"/>
          <w:szCs w:val="24"/>
          <w:lang w:eastAsia="it-IT"/>
        </w:rPr>
        <w:t xml:space="preserve">59.951 </w:t>
      </w:r>
      <w:r w:rsidRPr="007D1DFE">
        <w:rPr>
          <w:rFonts w:ascii="Times New Roman" w:eastAsia="Times New Roman" w:hAnsi="Times New Roman" w:cs="Times New Roman"/>
          <w:bCs/>
          <w:sz w:val="24"/>
          <w:szCs w:val="24"/>
          <w:lang w:eastAsia="it-IT"/>
        </w:rPr>
        <w:t>decessi.</w:t>
      </w:r>
      <w:r w:rsidR="004C117C" w:rsidRPr="007D1DFE">
        <w:rPr>
          <w:rFonts w:ascii="Times New Roman" w:eastAsia="Times New Roman" w:hAnsi="Times New Roman" w:cs="Times New Roman"/>
          <w:bCs/>
          <w:sz w:val="24"/>
          <w:szCs w:val="24"/>
          <w:lang w:eastAsia="it-IT"/>
        </w:rPr>
        <w:t xml:space="preserve"> Tale fenomeno è comune a tutte e </w:t>
      </w:r>
      <w:r w:rsidR="00D12417" w:rsidRPr="007D1DFE">
        <w:rPr>
          <w:rFonts w:ascii="Times New Roman" w:eastAsia="Times New Roman" w:hAnsi="Times New Roman" w:cs="Times New Roman"/>
          <w:bCs/>
          <w:sz w:val="24"/>
          <w:szCs w:val="24"/>
          <w:lang w:eastAsia="it-IT"/>
        </w:rPr>
        <w:t>cinque</w:t>
      </w:r>
      <w:r w:rsidR="004C117C" w:rsidRPr="007D1DFE">
        <w:rPr>
          <w:rFonts w:ascii="Times New Roman" w:eastAsia="Times New Roman" w:hAnsi="Times New Roman" w:cs="Times New Roman"/>
          <w:bCs/>
          <w:sz w:val="24"/>
          <w:szCs w:val="24"/>
          <w:lang w:eastAsia="it-IT"/>
        </w:rPr>
        <w:t xml:space="preserve"> le province, ma assume proporzioni preoccupanti per quella di Rieti, ove il numero dei decessi</w:t>
      </w:r>
      <w:r w:rsidR="008D331F" w:rsidRPr="007D1DFE">
        <w:rPr>
          <w:rFonts w:ascii="Times New Roman" w:eastAsia="Times New Roman" w:hAnsi="Times New Roman" w:cs="Times New Roman"/>
          <w:bCs/>
          <w:sz w:val="24"/>
          <w:szCs w:val="24"/>
          <w:lang w:eastAsia="it-IT"/>
        </w:rPr>
        <w:t xml:space="preserve"> continua ad essere doppio</w:t>
      </w:r>
      <w:r w:rsidR="004C117C" w:rsidRPr="007D1DFE">
        <w:rPr>
          <w:rFonts w:ascii="Times New Roman" w:eastAsia="Times New Roman" w:hAnsi="Times New Roman" w:cs="Times New Roman"/>
          <w:bCs/>
          <w:sz w:val="24"/>
          <w:szCs w:val="24"/>
          <w:lang w:eastAsia="it-IT"/>
        </w:rPr>
        <w:t xml:space="preserve"> rispetto ai nuovi nati (</w:t>
      </w:r>
      <w:r w:rsidR="008D331F" w:rsidRPr="007D1DFE">
        <w:rPr>
          <w:rFonts w:ascii="Times New Roman" w:eastAsia="Times New Roman" w:hAnsi="Times New Roman" w:cs="Times New Roman"/>
          <w:bCs/>
          <w:sz w:val="24"/>
          <w:szCs w:val="24"/>
          <w:lang w:eastAsia="it-IT"/>
        </w:rPr>
        <w:t>2.022</w:t>
      </w:r>
      <w:r w:rsidR="004C117C" w:rsidRPr="007D1DFE">
        <w:rPr>
          <w:rFonts w:ascii="Times New Roman" w:eastAsia="Times New Roman" w:hAnsi="Times New Roman" w:cs="Times New Roman"/>
          <w:bCs/>
          <w:sz w:val="24"/>
          <w:szCs w:val="24"/>
          <w:lang w:eastAsia="it-IT"/>
        </w:rPr>
        <w:t xml:space="preserve"> contro 1.0</w:t>
      </w:r>
      <w:r w:rsidR="008D331F" w:rsidRPr="007D1DFE">
        <w:rPr>
          <w:rFonts w:ascii="Times New Roman" w:eastAsia="Times New Roman" w:hAnsi="Times New Roman" w:cs="Times New Roman"/>
          <w:bCs/>
          <w:sz w:val="24"/>
          <w:szCs w:val="24"/>
          <w:lang w:eastAsia="it-IT"/>
        </w:rPr>
        <w:t>08</w:t>
      </w:r>
      <w:r w:rsidR="004C117C" w:rsidRPr="007D1DFE">
        <w:rPr>
          <w:rFonts w:ascii="Times New Roman" w:eastAsia="Times New Roman" w:hAnsi="Times New Roman" w:cs="Times New Roman"/>
          <w:bCs/>
          <w:sz w:val="24"/>
          <w:szCs w:val="24"/>
          <w:lang w:eastAsia="it-IT"/>
        </w:rPr>
        <w:t xml:space="preserve">). </w:t>
      </w:r>
      <w:r w:rsidR="003606D5" w:rsidRPr="007D1DFE">
        <w:rPr>
          <w:rStyle w:val="Rimandonotaapidipagina"/>
          <w:rFonts w:ascii="Times New Roman" w:eastAsia="Times New Roman" w:hAnsi="Times New Roman" w:cs="Times New Roman"/>
          <w:bCs/>
          <w:sz w:val="24"/>
          <w:szCs w:val="24"/>
          <w:lang w:eastAsia="it-IT"/>
        </w:rPr>
        <w:footnoteReference w:id="4"/>
      </w:r>
    </w:p>
    <w:p w:rsidR="009903C3" w:rsidRPr="007D1DFE" w:rsidRDefault="009903C3"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L’economia della Regione si caratterizza</w:t>
      </w:r>
      <w:r w:rsidR="004C117C" w:rsidRPr="007D1DFE">
        <w:rPr>
          <w:rFonts w:ascii="Times New Roman" w:eastAsia="Times New Roman" w:hAnsi="Times New Roman" w:cs="Times New Roman"/>
          <w:bCs/>
          <w:sz w:val="24"/>
          <w:szCs w:val="24"/>
          <w:lang w:eastAsia="it-IT"/>
        </w:rPr>
        <w:t xml:space="preserve"> </w:t>
      </w:r>
      <w:r w:rsidRPr="007D1DFE">
        <w:rPr>
          <w:rFonts w:ascii="Times New Roman" w:eastAsia="Times New Roman" w:hAnsi="Times New Roman" w:cs="Times New Roman"/>
          <w:bCs/>
          <w:sz w:val="24"/>
          <w:szCs w:val="24"/>
          <w:lang w:eastAsia="it-IT"/>
        </w:rPr>
        <w:t xml:space="preserve"> per la presenza rilevante di oc</w:t>
      </w:r>
      <w:r w:rsidR="00D12417" w:rsidRPr="007D1DFE">
        <w:rPr>
          <w:rFonts w:ascii="Times New Roman" w:eastAsia="Times New Roman" w:hAnsi="Times New Roman" w:cs="Times New Roman"/>
          <w:bCs/>
          <w:sz w:val="24"/>
          <w:szCs w:val="24"/>
          <w:lang w:eastAsia="it-IT"/>
        </w:rPr>
        <w:t>cupati nel settore terziario e,</w:t>
      </w:r>
      <w:r w:rsidRPr="007D1DFE">
        <w:rPr>
          <w:rFonts w:ascii="Times New Roman" w:eastAsia="Times New Roman" w:hAnsi="Times New Roman" w:cs="Times New Roman"/>
          <w:bCs/>
          <w:sz w:val="24"/>
          <w:szCs w:val="24"/>
          <w:lang w:eastAsia="it-IT"/>
        </w:rPr>
        <w:t xml:space="preserve"> in particolare</w:t>
      </w:r>
      <w:r w:rsidR="00D12417" w:rsidRPr="007D1DFE">
        <w:rPr>
          <w:rFonts w:ascii="Times New Roman" w:eastAsia="Times New Roman" w:hAnsi="Times New Roman" w:cs="Times New Roman"/>
          <w:bCs/>
          <w:sz w:val="24"/>
          <w:szCs w:val="24"/>
          <w:lang w:eastAsia="it-IT"/>
        </w:rPr>
        <w:t>,</w:t>
      </w:r>
      <w:r w:rsidRPr="007D1DFE">
        <w:rPr>
          <w:rFonts w:ascii="Times New Roman" w:eastAsia="Times New Roman" w:hAnsi="Times New Roman" w:cs="Times New Roman"/>
          <w:bCs/>
          <w:sz w:val="24"/>
          <w:szCs w:val="24"/>
          <w:lang w:eastAsia="it-IT"/>
        </w:rPr>
        <w:t xml:space="preserve"> nella pubblica amministrazione. Tale peculiarità ha consentito all’economia regionale negli</w:t>
      </w:r>
      <w:r w:rsidR="002569DA" w:rsidRPr="007D1DFE">
        <w:rPr>
          <w:rFonts w:ascii="Times New Roman" w:eastAsia="Times New Roman" w:hAnsi="Times New Roman" w:cs="Times New Roman"/>
          <w:bCs/>
          <w:sz w:val="24"/>
          <w:szCs w:val="24"/>
          <w:lang w:eastAsia="it-IT"/>
        </w:rPr>
        <w:t xml:space="preserve"> anni </w:t>
      </w:r>
      <w:r w:rsidR="00403F03" w:rsidRPr="007D1DFE">
        <w:rPr>
          <w:rFonts w:ascii="Times New Roman" w:eastAsia="Times New Roman" w:hAnsi="Times New Roman" w:cs="Times New Roman"/>
          <w:bCs/>
          <w:sz w:val="24"/>
          <w:szCs w:val="24"/>
          <w:lang w:eastAsia="it-IT"/>
        </w:rPr>
        <w:t xml:space="preserve">scorsi </w:t>
      </w:r>
      <w:r w:rsidR="002569DA" w:rsidRPr="007D1DFE">
        <w:rPr>
          <w:rFonts w:ascii="Times New Roman" w:eastAsia="Times New Roman" w:hAnsi="Times New Roman" w:cs="Times New Roman"/>
          <w:bCs/>
          <w:sz w:val="24"/>
          <w:szCs w:val="24"/>
          <w:lang w:eastAsia="it-IT"/>
        </w:rPr>
        <w:t>d</w:t>
      </w:r>
      <w:r w:rsidRPr="007D1DFE">
        <w:rPr>
          <w:rFonts w:ascii="Times New Roman" w:eastAsia="Times New Roman" w:hAnsi="Times New Roman" w:cs="Times New Roman"/>
          <w:bCs/>
          <w:sz w:val="24"/>
          <w:szCs w:val="24"/>
          <w:lang w:eastAsia="it-IT"/>
        </w:rPr>
        <w:t>i risentire meno di altre regioni della situazione di sostanziale stagnazione economica</w:t>
      </w:r>
      <w:r w:rsidR="00823DD8" w:rsidRPr="007D1DFE">
        <w:rPr>
          <w:rFonts w:ascii="Times New Roman" w:eastAsia="Times New Roman" w:hAnsi="Times New Roman" w:cs="Times New Roman"/>
          <w:bCs/>
          <w:sz w:val="24"/>
          <w:szCs w:val="24"/>
          <w:lang w:eastAsia="it-IT"/>
        </w:rPr>
        <w:t>.</w:t>
      </w:r>
    </w:p>
    <w:p w:rsidR="009903C3" w:rsidRPr="007D1DFE" w:rsidRDefault="009903C3"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lastRenderedPageBreak/>
        <w:tab/>
      </w:r>
      <w:r w:rsidR="00C71546" w:rsidRPr="007D1DFE">
        <w:rPr>
          <w:rFonts w:ascii="Times New Roman" w:eastAsia="Times New Roman" w:hAnsi="Times New Roman" w:cs="Times New Roman"/>
          <w:bCs/>
          <w:sz w:val="24"/>
          <w:szCs w:val="24"/>
          <w:lang w:eastAsia="it-IT"/>
        </w:rPr>
        <w:t xml:space="preserve">La </w:t>
      </w:r>
      <w:r w:rsidRPr="007D1DFE">
        <w:rPr>
          <w:rFonts w:ascii="Times New Roman" w:eastAsia="Times New Roman" w:hAnsi="Times New Roman" w:cs="Times New Roman"/>
          <w:bCs/>
          <w:sz w:val="24"/>
          <w:szCs w:val="24"/>
          <w:lang w:eastAsia="it-IT"/>
        </w:rPr>
        <w:t xml:space="preserve">situazione congiunturale ha </w:t>
      </w:r>
      <w:r w:rsidR="00C71546" w:rsidRPr="007D1DFE">
        <w:rPr>
          <w:rFonts w:ascii="Times New Roman" w:eastAsia="Times New Roman" w:hAnsi="Times New Roman" w:cs="Times New Roman"/>
          <w:bCs/>
          <w:sz w:val="24"/>
          <w:szCs w:val="24"/>
          <w:lang w:eastAsia="it-IT"/>
        </w:rPr>
        <w:t xml:space="preserve">avuto </w:t>
      </w:r>
      <w:r w:rsidRPr="007D1DFE">
        <w:rPr>
          <w:rFonts w:ascii="Times New Roman" w:eastAsia="Times New Roman" w:hAnsi="Times New Roman" w:cs="Times New Roman"/>
          <w:bCs/>
          <w:sz w:val="24"/>
          <w:szCs w:val="24"/>
          <w:lang w:eastAsia="it-IT"/>
        </w:rPr>
        <w:t xml:space="preserve">dei riflessi sul fronte occupazionale generale che ha raggiunto nell’anno 2013 un picco negativo del numero di inoccupati pari al 12,3% della popolazione in età di lavoro </w:t>
      </w:r>
      <w:r w:rsidRPr="007D1DFE">
        <w:rPr>
          <w:rFonts w:ascii="Times New Roman" w:eastAsia="Times New Roman" w:hAnsi="Times New Roman" w:cs="Times New Roman"/>
          <w:bCs/>
          <w:sz w:val="24"/>
          <w:szCs w:val="24"/>
          <w:vertAlign w:val="superscript"/>
          <w:lang w:eastAsia="it-IT"/>
        </w:rPr>
        <w:footnoteReference w:id="5"/>
      </w:r>
      <w:r w:rsidRPr="007D1DFE">
        <w:rPr>
          <w:rFonts w:ascii="Times New Roman" w:eastAsia="Times New Roman" w:hAnsi="Times New Roman" w:cs="Times New Roman"/>
          <w:bCs/>
          <w:sz w:val="24"/>
          <w:szCs w:val="24"/>
          <w:lang w:eastAsia="it-IT"/>
        </w:rPr>
        <w:t xml:space="preserve">. </w:t>
      </w:r>
    </w:p>
    <w:p w:rsidR="002569DA" w:rsidRPr="007D1DFE" w:rsidRDefault="002569DA"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 xml:space="preserve">Nel 2014 il quadro congiunturale regionale aveva già mostrato segnali di recupero, con un aumento del PIL pari al 1,4% rispetto all’anno precedente. Nel 2015 il prodotto è ulteriormente cresciuto, sia pure con un modesto 0,8 per cento, in linea con la media nazionale. </w:t>
      </w:r>
      <w:r w:rsidRPr="007D1DFE">
        <w:rPr>
          <w:rFonts w:ascii="Times New Roman" w:eastAsia="Times New Roman" w:hAnsi="Times New Roman" w:cs="Times New Roman"/>
          <w:bCs/>
          <w:sz w:val="24"/>
          <w:szCs w:val="24"/>
          <w:vertAlign w:val="superscript"/>
          <w:lang w:eastAsia="it-IT"/>
        </w:rPr>
        <w:footnoteReference w:id="6"/>
      </w:r>
    </w:p>
    <w:p w:rsidR="00CF786D" w:rsidRPr="007D1DFE" w:rsidRDefault="002569DA"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r>
      <w:r w:rsidR="00403F03" w:rsidRPr="007D1DFE">
        <w:rPr>
          <w:rFonts w:ascii="Times New Roman" w:eastAsia="Times New Roman" w:hAnsi="Times New Roman" w:cs="Times New Roman"/>
          <w:bCs/>
          <w:sz w:val="24"/>
          <w:szCs w:val="24"/>
          <w:lang w:eastAsia="it-IT"/>
        </w:rPr>
        <w:t xml:space="preserve">Nel 2016 l’attività economica </w:t>
      </w:r>
      <w:r w:rsidR="00C71546" w:rsidRPr="007D1DFE">
        <w:rPr>
          <w:rFonts w:ascii="Times New Roman" w:eastAsia="Times New Roman" w:hAnsi="Times New Roman" w:cs="Times New Roman"/>
          <w:bCs/>
          <w:sz w:val="24"/>
          <w:szCs w:val="24"/>
          <w:lang w:eastAsia="it-IT"/>
        </w:rPr>
        <w:t xml:space="preserve">nel Lazio </w:t>
      </w:r>
      <w:r w:rsidR="00CF786D" w:rsidRPr="007D1DFE">
        <w:rPr>
          <w:rFonts w:ascii="Times New Roman" w:eastAsia="Times New Roman" w:hAnsi="Times New Roman" w:cs="Times New Roman"/>
          <w:bCs/>
          <w:sz w:val="24"/>
          <w:szCs w:val="24"/>
          <w:lang w:eastAsia="it-IT"/>
        </w:rPr>
        <w:t>risulta m</w:t>
      </w:r>
      <w:r w:rsidR="00403F03" w:rsidRPr="007D1DFE">
        <w:rPr>
          <w:rFonts w:ascii="Times New Roman" w:eastAsia="Times New Roman" w:hAnsi="Times New Roman" w:cs="Times New Roman"/>
          <w:bCs/>
          <w:sz w:val="24"/>
          <w:szCs w:val="24"/>
          <w:lang w:eastAsia="it-IT"/>
        </w:rPr>
        <w:t>oderatamente aumentata</w:t>
      </w:r>
      <w:r w:rsidR="00CF786D" w:rsidRPr="007D1DFE">
        <w:rPr>
          <w:rFonts w:ascii="Times New Roman" w:eastAsia="Times New Roman" w:hAnsi="Times New Roman" w:cs="Times New Roman"/>
          <w:bCs/>
          <w:sz w:val="24"/>
          <w:szCs w:val="24"/>
          <w:lang w:eastAsia="it-IT"/>
        </w:rPr>
        <w:t xml:space="preserve"> nel settore </w:t>
      </w:r>
      <w:r w:rsidR="00403F03" w:rsidRPr="007D1DFE">
        <w:rPr>
          <w:rFonts w:ascii="Times New Roman" w:eastAsia="Times New Roman" w:hAnsi="Times New Roman" w:cs="Times New Roman"/>
          <w:bCs/>
          <w:sz w:val="24"/>
          <w:szCs w:val="24"/>
          <w:lang w:eastAsia="it-IT"/>
        </w:rPr>
        <w:t xml:space="preserve">industriale, </w:t>
      </w:r>
      <w:r w:rsidR="00CF786D" w:rsidRPr="007D1DFE">
        <w:rPr>
          <w:rFonts w:ascii="Times New Roman" w:eastAsia="Times New Roman" w:hAnsi="Times New Roman" w:cs="Times New Roman"/>
          <w:bCs/>
          <w:sz w:val="24"/>
          <w:szCs w:val="24"/>
          <w:lang w:eastAsia="it-IT"/>
        </w:rPr>
        <w:t xml:space="preserve">determinata </w:t>
      </w:r>
      <w:r w:rsidR="00403F03" w:rsidRPr="007D1DFE">
        <w:rPr>
          <w:rFonts w:ascii="Times New Roman" w:eastAsia="Times New Roman" w:hAnsi="Times New Roman" w:cs="Times New Roman"/>
          <w:bCs/>
          <w:sz w:val="24"/>
          <w:szCs w:val="24"/>
          <w:lang w:eastAsia="it-IT"/>
        </w:rPr>
        <w:t>d</w:t>
      </w:r>
      <w:r w:rsidR="00CF786D" w:rsidRPr="007D1DFE">
        <w:rPr>
          <w:rFonts w:ascii="Times New Roman" w:eastAsia="Times New Roman" w:hAnsi="Times New Roman" w:cs="Times New Roman"/>
          <w:bCs/>
          <w:sz w:val="24"/>
          <w:szCs w:val="24"/>
          <w:lang w:eastAsia="it-IT"/>
        </w:rPr>
        <w:t>a</w:t>
      </w:r>
      <w:r w:rsidR="00403F03" w:rsidRPr="007D1DFE">
        <w:rPr>
          <w:rFonts w:ascii="Times New Roman" w:eastAsia="Times New Roman" w:hAnsi="Times New Roman" w:cs="Times New Roman"/>
          <w:bCs/>
          <w:sz w:val="24"/>
          <w:szCs w:val="24"/>
          <w:lang w:eastAsia="it-IT"/>
        </w:rPr>
        <w:t>lla domanda estera</w:t>
      </w:r>
      <w:r w:rsidR="00CF786D" w:rsidRPr="007D1DFE">
        <w:rPr>
          <w:rFonts w:ascii="Times New Roman" w:eastAsia="Times New Roman" w:hAnsi="Times New Roman" w:cs="Times New Roman"/>
          <w:bCs/>
          <w:sz w:val="24"/>
          <w:szCs w:val="24"/>
          <w:lang w:eastAsia="it-IT"/>
        </w:rPr>
        <w:t>.</w:t>
      </w:r>
      <w:r w:rsidR="00403F03" w:rsidRPr="007D1DFE">
        <w:rPr>
          <w:rFonts w:ascii="Times New Roman" w:eastAsia="Times New Roman" w:hAnsi="Times New Roman" w:cs="Times New Roman"/>
          <w:bCs/>
          <w:sz w:val="24"/>
          <w:szCs w:val="24"/>
          <w:lang w:eastAsia="it-IT"/>
        </w:rPr>
        <w:t xml:space="preserve"> </w:t>
      </w:r>
      <w:r w:rsidR="00CF786D" w:rsidRPr="007D1DFE">
        <w:rPr>
          <w:rFonts w:ascii="Times New Roman" w:eastAsia="Times New Roman" w:hAnsi="Times New Roman" w:cs="Times New Roman"/>
          <w:bCs/>
          <w:sz w:val="24"/>
          <w:szCs w:val="24"/>
          <w:lang w:eastAsia="it-IT"/>
        </w:rPr>
        <w:t>La ripresa dei consumi, soprattutto in beni durevoli, e l’aumento dei flussi turistici ha avuto un influsso positivo nel settore dei servizi, mentre quello edilizio non ha mostrato segni di ripresa.</w:t>
      </w:r>
      <w:r w:rsidR="00403F03" w:rsidRPr="007D1DFE">
        <w:rPr>
          <w:rFonts w:ascii="Times New Roman" w:eastAsia="Times New Roman" w:hAnsi="Times New Roman" w:cs="Times New Roman"/>
          <w:bCs/>
          <w:sz w:val="24"/>
          <w:szCs w:val="24"/>
          <w:lang w:eastAsia="it-IT"/>
        </w:rPr>
        <w:t xml:space="preserve"> </w:t>
      </w:r>
      <w:r w:rsidR="00CF786D" w:rsidRPr="007D1DFE">
        <w:rPr>
          <w:rFonts w:ascii="Times New Roman" w:eastAsia="Times New Roman" w:hAnsi="Times New Roman" w:cs="Times New Roman"/>
          <w:bCs/>
          <w:sz w:val="24"/>
          <w:szCs w:val="24"/>
          <w:lang w:eastAsia="it-IT"/>
        </w:rPr>
        <w:t>Per quanto riguarda il mercato del lavoro</w:t>
      </w:r>
      <w:r w:rsidR="00B028CD" w:rsidRPr="007D1DFE">
        <w:rPr>
          <w:rFonts w:ascii="Times New Roman" w:eastAsia="Times New Roman" w:hAnsi="Times New Roman" w:cs="Times New Roman"/>
          <w:bCs/>
          <w:sz w:val="24"/>
          <w:szCs w:val="24"/>
          <w:lang w:eastAsia="it-IT"/>
        </w:rPr>
        <w:t xml:space="preserve">, l’occupazione è cresciuta nel settore dei servizi, mentre è ancora calata nell’industria e nelle costruzioni. Risulta </w:t>
      </w:r>
      <w:r w:rsidR="00CF786D" w:rsidRPr="007D1DFE">
        <w:rPr>
          <w:rFonts w:ascii="Times New Roman" w:eastAsia="Times New Roman" w:hAnsi="Times New Roman" w:cs="Times New Roman"/>
          <w:bCs/>
          <w:sz w:val="24"/>
          <w:szCs w:val="24"/>
          <w:lang w:eastAsia="it-IT"/>
        </w:rPr>
        <w:t xml:space="preserve">diminuito il numero di </w:t>
      </w:r>
      <w:r w:rsidR="00403F03" w:rsidRPr="007D1DFE">
        <w:rPr>
          <w:rFonts w:ascii="Times New Roman" w:eastAsia="Times New Roman" w:hAnsi="Times New Roman" w:cs="Times New Roman"/>
          <w:bCs/>
          <w:sz w:val="24"/>
          <w:szCs w:val="24"/>
          <w:lang w:eastAsia="it-IT"/>
        </w:rPr>
        <w:t>giovani non occupati, che non studiano e non sono inseriti in un percorso di formazione</w:t>
      </w:r>
      <w:r w:rsidR="00CF786D" w:rsidRPr="007D1DFE">
        <w:rPr>
          <w:rFonts w:ascii="Times New Roman" w:eastAsia="Times New Roman" w:hAnsi="Times New Roman" w:cs="Times New Roman"/>
          <w:bCs/>
          <w:sz w:val="24"/>
          <w:szCs w:val="24"/>
          <w:lang w:eastAsia="it-IT"/>
        </w:rPr>
        <w:t xml:space="preserve">, anche se tale numero continua ad essere alto. </w:t>
      </w:r>
      <w:r w:rsidR="00B028CD" w:rsidRPr="007D1DFE">
        <w:rPr>
          <w:rFonts w:ascii="Times New Roman" w:eastAsia="Times New Roman" w:hAnsi="Times New Roman" w:cs="Times New Roman"/>
          <w:bCs/>
          <w:sz w:val="24"/>
          <w:szCs w:val="24"/>
          <w:lang w:eastAsia="it-IT"/>
        </w:rPr>
        <w:t xml:space="preserve">Come riporta l’indagine della Banca d’Italia </w:t>
      </w:r>
      <w:r w:rsidR="00B028CD" w:rsidRPr="007D1DFE">
        <w:rPr>
          <w:rStyle w:val="Rimandonotaapidipagina"/>
          <w:rFonts w:ascii="Times New Roman" w:eastAsia="Times New Roman" w:hAnsi="Times New Roman" w:cs="Times New Roman"/>
          <w:bCs/>
          <w:sz w:val="24"/>
          <w:szCs w:val="24"/>
          <w:lang w:eastAsia="it-IT"/>
        </w:rPr>
        <w:footnoteReference w:id="7"/>
      </w:r>
      <w:r w:rsidR="00B028CD" w:rsidRPr="007D1DFE">
        <w:rPr>
          <w:rFonts w:ascii="Times New Roman" w:eastAsia="Times New Roman" w:hAnsi="Times New Roman" w:cs="Times New Roman"/>
          <w:bCs/>
          <w:sz w:val="24"/>
          <w:szCs w:val="24"/>
          <w:lang w:eastAsia="it-IT"/>
        </w:rPr>
        <w:t xml:space="preserve"> , “</w:t>
      </w:r>
      <w:r w:rsidR="00B028CD" w:rsidRPr="007D1DFE">
        <w:rPr>
          <w:rFonts w:ascii="Times New Roman" w:eastAsia="Times New Roman" w:hAnsi="Times New Roman" w:cs="Times New Roman"/>
          <w:bCs/>
          <w:i/>
          <w:sz w:val="24"/>
          <w:szCs w:val="24"/>
          <w:lang w:eastAsia="it-IT"/>
        </w:rPr>
        <w:t>l’aumento degli occupati, concentrato nel lavoro dipendente e nei lavoratori più anziani, si è accompagnato alla crescita delle ore lavorate. Le ore autorizzate di cassa integrazione guadagni e il tasso di disoccupazione sono ulteriormente diminuiti. A partire dalla crisi, oltre il 60 per cento di coloro che hanno perso un lavoro dipendente ha trovato un nuovo impiego entro tre anni; la percentuale è maggiore per i più istruiti</w:t>
      </w:r>
      <w:r w:rsidR="00B028CD" w:rsidRPr="007D1DFE">
        <w:rPr>
          <w:rFonts w:ascii="Times New Roman" w:eastAsia="Times New Roman" w:hAnsi="Times New Roman" w:cs="Times New Roman"/>
          <w:bCs/>
          <w:sz w:val="24"/>
          <w:szCs w:val="24"/>
          <w:lang w:eastAsia="it-IT"/>
        </w:rPr>
        <w:t xml:space="preserve">”. </w:t>
      </w:r>
    </w:p>
    <w:p w:rsidR="002569DA" w:rsidRPr="007D1DFE" w:rsidRDefault="00CF786D"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r>
      <w:r w:rsidR="000E236E" w:rsidRPr="007D1DFE">
        <w:rPr>
          <w:rFonts w:ascii="Times New Roman" w:eastAsia="Times New Roman" w:hAnsi="Times New Roman" w:cs="Times New Roman"/>
          <w:bCs/>
          <w:sz w:val="24"/>
          <w:szCs w:val="24"/>
          <w:lang w:eastAsia="it-IT"/>
        </w:rPr>
        <w:t>Sempre nel 2016, i</w:t>
      </w:r>
      <w:r w:rsidRPr="007D1DFE">
        <w:rPr>
          <w:rFonts w:ascii="Times New Roman" w:eastAsia="Times New Roman" w:hAnsi="Times New Roman" w:cs="Times New Roman"/>
          <w:bCs/>
          <w:sz w:val="24"/>
          <w:szCs w:val="24"/>
          <w:lang w:eastAsia="it-IT"/>
        </w:rPr>
        <w:t xml:space="preserve">l </w:t>
      </w:r>
      <w:r w:rsidR="00403F03" w:rsidRPr="007D1DFE">
        <w:rPr>
          <w:rFonts w:ascii="Times New Roman" w:eastAsia="Times New Roman" w:hAnsi="Times New Roman" w:cs="Times New Roman"/>
          <w:bCs/>
          <w:sz w:val="24"/>
          <w:szCs w:val="24"/>
          <w:lang w:eastAsia="it-IT"/>
        </w:rPr>
        <w:t xml:space="preserve">mercato degli immobili residenziali </w:t>
      </w:r>
      <w:r w:rsidRPr="007D1DFE">
        <w:rPr>
          <w:rFonts w:ascii="Times New Roman" w:eastAsia="Times New Roman" w:hAnsi="Times New Roman" w:cs="Times New Roman"/>
          <w:bCs/>
          <w:sz w:val="24"/>
          <w:szCs w:val="24"/>
          <w:lang w:eastAsia="it-IT"/>
        </w:rPr>
        <w:t>ha visto un aumento del</w:t>
      </w:r>
      <w:r w:rsidR="00403F03" w:rsidRPr="007D1DFE">
        <w:rPr>
          <w:rFonts w:ascii="Times New Roman" w:eastAsia="Times New Roman" w:hAnsi="Times New Roman" w:cs="Times New Roman"/>
          <w:bCs/>
          <w:sz w:val="24"/>
          <w:szCs w:val="24"/>
          <w:lang w:eastAsia="it-IT"/>
        </w:rPr>
        <w:t>le transazioni</w:t>
      </w:r>
      <w:r w:rsidR="00B028CD" w:rsidRPr="007D1DFE">
        <w:rPr>
          <w:rFonts w:ascii="Times New Roman" w:eastAsia="Times New Roman" w:hAnsi="Times New Roman" w:cs="Times New Roman"/>
          <w:bCs/>
          <w:sz w:val="24"/>
          <w:szCs w:val="24"/>
          <w:lang w:eastAsia="it-IT"/>
        </w:rPr>
        <w:t xml:space="preserve"> ed i loro </w:t>
      </w:r>
      <w:r w:rsidRPr="007D1DFE">
        <w:rPr>
          <w:rFonts w:ascii="Times New Roman" w:eastAsia="Times New Roman" w:hAnsi="Times New Roman" w:cs="Times New Roman"/>
          <w:bCs/>
          <w:sz w:val="24"/>
          <w:szCs w:val="24"/>
          <w:lang w:eastAsia="it-IT"/>
        </w:rPr>
        <w:t xml:space="preserve">prezzi </w:t>
      </w:r>
      <w:r w:rsidR="00B028CD" w:rsidRPr="007D1DFE">
        <w:rPr>
          <w:rFonts w:ascii="Times New Roman" w:eastAsia="Times New Roman" w:hAnsi="Times New Roman" w:cs="Times New Roman"/>
          <w:bCs/>
          <w:sz w:val="24"/>
          <w:szCs w:val="24"/>
          <w:lang w:eastAsia="it-IT"/>
        </w:rPr>
        <w:t xml:space="preserve">hanno </w:t>
      </w:r>
      <w:r w:rsidR="000E236E" w:rsidRPr="007D1DFE">
        <w:rPr>
          <w:rFonts w:ascii="Times New Roman" w:eastAsia="Times New Roman" w:hAnsi="Times New Roman" w:cs="Times New Roman"/>
          <w:bCs/>
          <w:sz w:val="24"/>
          <w:szCs w:val="24"/>
          <w:lang w:eastAsia="it-IT"/>
        </w:rPr>
        <w:t>registrato</w:t>
      </w:r>
      <w:r w:rsidR="00B028CD" w:rsidRPr="007D1DFE">
        <w:rPr>
          <w:rFonts w:ascii="Times New Roman" w:eastAsia="Times New Roman" w:hAnsi="Times New Roman" w:cs="Times New Roman"/>
          <w:bCs/>
          <w:sz w:val="24"/>
          <w:szCs w:val="24"/>
          <w:lang w:eastAsia="it-IT"/>
        </w:rPr>
        <w:t xml:space="preserve"> una flessione più </w:t>
      </w:r>
      <w:r w:rsidR="00403F03" w:rsidRPr="007D1DFE">
        <w:rPr>
          <w:rFonts w:ascii="Times New Roman" w:eastAsia="Times New Roman" w:hAnsi="Times New Roman" w:cs="Times New Roman"/>
          <w:bCs/>
          <w:sz w:val="24"/>
          <w:szCs w:val="24"/>
          <w:lang w:eastAsia="it-IT"/>
        </w:rPr>
        <w:t>attenuata rispetto al</w:t>
      </w:r>
      <w:r w:rsidR="00B028CD" w:rsidRPr="007D1DFE">
        <w:rPr>
          <w:rFonts w:ascii="Times New Roman" w:eastAsia="Times New Roman" w:hAnsi="Times New Roman" w:cs="Times New Roman"/>
          <w:bCs/>
          <w:sz w:val="24"/>
          <w:szCs w:val="24"/>
          <w:lang w:eastAsia="it-IT"/>
        </w:rPr>
        <w:t xml:space="preserve"> 2015.</w:t>
      </w:r>
    </w:p>
    <w:p w:rsidR="00684C81" w:rsidRPr="007D1DFE" w:rsidRDefault="009903C3"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r>
      <w:r w:rsidR="003A6E07" w:rsidRPr="007D1DFE">
        <w:rPr>
          <w:rFonts w:ascii="Times New Roman" w:eastAsia="Times New Roman" w:hAnsi="Times New Roman" w:cs="Times New Roman"/>
          <w:bCs/>
          <w:sz w:val="24"/>
          <w:szCs w:val="24"/>
          <w:lang w:eastAsia="it-IT"/>
        </w:rPr>
        <w:t>Nei primi nove mesi del 2017</w:t>
      </w:r>
      <w:r w:rsidR="000E236E" w:rsidRPr="007D1DFE">
        <w:rPr>
          <w:rFonts w:ascii="Times New Roman" w:eastAsia="Times New Roman" w:hAnsi="Times New Roman" w:cs="Times New Roman"/>
          <w:bCs/>
          <w:sz w:val="24"/>
          <w:szCs w:val="24"/>
          <w:lang w:eastAsia="it-IT"/>
        </w:rPr>
        <w:t xml:space="preserve"> è proseguita una moderata espansione</w:t>
      </w:r>
      <w:r w:rsidR="003A6E07" w:rsidRPr="007D1DFE">
        <w:rPr>
          <w:rFonts w:ascii="Times New Roman" w:eastAsia="Times New Roman" w:hAnsi="Times New Roman" w:cs="Times New Roman"/>
          <w:bCs/>
          <w:sz w:val="24"/>
          <w:szCs w:val="24"/>
          <w:lang w:eastAsia="it-IT"/>
        </w:rPr>
        <w:t xml:space="preserve"> </w:t>
      </w:r>
      <w:r w:rsidR="000E236E" w:rsidRPr="007D1DFE">
        <w:rPr>
          <w:rFonts w:ascii="Times New Roman" w:eastAsia="Times New Roman" w:hAnsi="Times New Roman" w:cs="Times New Roman"/>
          <w:bCs/>
          <w:sz w:val="24"/>
          <w:szCs w:val="24"/>
          <w:lang w:eastAsia="it-IT"/>
        </w:rPr>
        <w:t>del</w:t>
      </w:r>
      <w:r w:rsidR="003A6E07" w:rsidRPr="007D1DFE">
        <w:rPr>
          <w:rFonts w:ascii="Times New Roman" w:eastAsia="Times New Roman" w:hAnsi="Times New Roman" w:cs="Times New Roman"/>
          <w:bCs/>
          <w:sz w:val="24"/>
          <w:szCs w:val="24"/>
          <w:lang w:eastAsia="it-IT"/>
        </w:rPr>
        <w:t xml:space="preserve">l’economia </w:t>
      </w:r>
      <w:r w:rsidR="000E236E" w:rsidRPr="007D1DFE">
        <w:rPr>
          <w:rFonts w:ascii="Times New Roman" w:eastAsia="Times New Roman" w:hAnsi="Times New Roman" w:cs="Times New Roman"/>
          <w:bCs/>
          <w:sz w:val="24"/>
          <w:szCs w:val="24"/>
          <w:lang w:eastAsia="it-IT"/>
        </w:rPr>
        <w:t xml:space="preserve">laziale, </w:t>
      </w:r>
      <w:r w:rsidR="003A6E07" w:rsidRPr="007D1DFE">
        <w:rPr>
          <w:rFonts w:ascii="Times New Roman" w:eastAsia="Times New Roman" w:hAnsi="Times New Roman" w:cs="Times New Roman"/>
          <w:bCs/>
          <w:sz w:val="24"/>
          <w:szCs w:val="24"/>
          <w:lang w:eastAsia="it-IT"/>
        </w:rPr>
        <w:t xml:space="preserve"> in particolare nei servizi</w:t>
      </w:r>
      <w:r w:rsidR="00684C81" w:rsidRPr="007D1DFE">
        <w:rPr>
          <w:rFonts w:ascii="Times New Roman" w:eastAsia="Times New Roman" w:hAnsi="Times New Roman" w:cs="Times New Roman"/>
          <w:bCs/>
          <w:sz w:val="24"/>
          <w:szCs w:val="24"/>
          <w:lang w:eastAsia="it-IT"/>
        </w:rPr>
        <w:t xml:space="preserve"> – settore del turismo -</w:t>
      </w:r>
      <w:r w:rsidR="003A6E07" w:rsidRPr="007D1DFE">
        <w:rPr>
          <w:rFonts w:ascii="Times New Roman" w:eastAsia="Times New Roman" w:hAnsi="Times New Roman" w:cs="Times New Roman"/>
          <w:bCs/>
          <w:sz w:val="24"/>
          <w:szCs w:val="24"/>
          <w:lang w:eastAsia="it-IT"/>
        </w:rPr>
        <w:t xml:space="preserve"> e nell’industria</w:t>
      </w:r>
      <w:r w:rsidR="006E3BAA" w:rsidRPr="007D1DFE">
        <w:rPr>
          <w:rFonts w:ascii="Times New Roman" w:eastAsia="Times New Roman" w:hAnsi="Times New Roman" w:cs="Times New Roman"/>
          <w:bCs/>
          <w:sz w:val="24"/>
          <w:szCs w:val="24"/>
          <w:lang w:eastAsia="it-IT"/>
        </w:rPr>
        <w:t xml:space="preserve"> chimica, metalmeccanica e, più in generale, di quei settori che tradizionalmente esportano all’estero i loro prodotti </w:t>
      </w:r>
      <w:r w:rsidR="000E236E" w:rsidRPr="007D1DFE">
        <w:rPr>
          <w:rStyle w:val="Rimandonotaapidipagina"/>
          <w:rFonts w:ascii="Times New Roman" w:eastAsia="Times New Roman" w:hAnsi="Times New Roman" w:cs="Times New Roman"/>
          <w:bCs/>
          <w:sz w:val="24"/>
          <w:szCs w:val="24"/>
          <w:lang w:eastAsia="it-IT"/>
        </w:rPr>
        <w:footnoteReference w:id="8"/>
      </w:r>
      <w:r w:rsidR="003A6E07" w:rsidRPr="007D1DFE">
        <w:rPr>
          <w:rFonts w:ascii="Times New Roman" w:eastAsia="Times New Roman" w:hAnsi="Times New Roman" w:cs="Times New Roman"/>
          <w:bCs/>
          <w:sz w:val="24"/>
          <w:szCs w:val="24"/>
          <w:lang w:eastAsia="it-IT"/>
        </w:rPr>
        <w:t xml:space="preserve">. </w:t>
      </w:r>
      <w:r w:rsidR="00684C81" w:rsidRPr="007D1DFE">
        <w:rPr>
          <w:rFonts w:ascii="Times New Roman" w:eastAsia="Times New Roman" w:hAnsi="Times New Roman" w:cs="Times New Roman"/>
          <w:bCs/>
          <w:sz w:val="24"/>
          <w:szCs w:val="24"/>
          <w:lang w:eastAsia="it-IT"/>
        </w:rPr>
        <w:t>Una nota particolarmente critica è rappresentata dalla ulteriore diminuzione dell’attività edilizia.</w:t>
      </w:r>
      <w:r w:rsidR="003A6E07" w:rsidRPr="007D1DFE">
        <w:rPr>
          <w:rFonts w:ascii="Times New Roman" w:eastAsia="Times New Roman" w:hAnsi="Times New Roman" w:cs="Times New Roman"/>
          <w:bCs/>
          <w:sz w:val="24"/>
          <w:szCs w:val="24"/>
          <w:lang w:eastAsia="it-IT"/>
        </w:rPr>
        <w:t xml:space="preserve"> </w:t>
      </w:r>
    </w:p>
    <w:p w:rsidR="008D331F" w:rsidRPr="007D1DFE" w:rsidRDefault="00684C81" w:rsidP="007D1DFE">
      <w:pPr>
        <w:spacing w:line="240" w:lineRule="auto"/>
        <w:jc w:val="both"/>
        <w:rPr>
          <w:rFonts w:ascii="Times New Roman" w:eastAsia="Times New Roman" w:hAnsi="Times New Roman" w:cs="Times New Roman"/>
          <w:bCs/>
          <w:i/>
          <w:sz w:val="24"/>
          <w:szCs w:val="24"/>
          <w:lang w:eastAsia="it-IT"/>
        </w:rPr>
      </w:pPr>
      <w:r w:rsidRPr="007D1DFE">
        <w:rPr>
          <w:rFonts w:ascii="Times New Roman" w:eastAsia="Times New Roman" w:hAnsi="Times New Roman" w:cs="Times New Roman"/>
          <w:bCs/>
          <w:sz w:val="24"/>
          <w:szCs w:val="24"/>
          <w:lang w:eastAsia="it-IT"/>
        </w:rPr>
        <w:tab/>
        <w:t>Come riporta la più recente indagine della Banca d’Italia sullo stato dell’economia del Lazio, “</w:t>
      </w:r>
      <w:r w:rsidR="008D331F" w:rsidRPr="007D1DFE">
        <w:rPr>
          <w:rFonts w:ascii="Times New Roman" w:eastAsia="Times New Roman" w:hAnsi="Times New Roman" w:cs="Times New Roman"/>
          <w:bCs/>
          <w:i/>
          <w:sz w:val="24"/>
          <w:szCs w:val="24"/>
          <w:lang w:eastAsia="it-IT"/>
        </w:rPr>
        <w:t>Nella prima parte del 2018 la crescita dei livelli di attività è stata più debole di quella registrata l’anno precedente. L’andamento congiunturale è stato più favorevole per le imprese industriali e le aziende di maggiori dimensioni. La spesa per investimenti è stata contenuta.</w:t>
      </w:r>
    </w:p>
    <w:p w:rsidR="008D331F" w:rsidRPr="007D1DFE" w:rsidRDefault="008D331F" w:rsidP="007D1DFE">
      <w:pPr>
        <w:spacing w:line="240" w:lineRule="auto"/>
        <w:jc w:val="both"/>
        <w:rPr>
          <w:rFonts w:ascii="Times New Roman" w:eastAsia="Times New Roman" w:hAnsi="Times New Roman" w:cs="Times New Roman"/>
          <w:bCs/>
          <w:i/>
          <w:sz w:val="24"/>
          <w:szCs w:val="24"/>
          <w:lang w:eastAsia="it-IT"/>
        </w:rPr>
      </w:pPr>
      <w:r w:rsidRPr="007D1DFE">
        <w:rPr>
          <w:rFonts w:ascii="Times New Roman" w:eastAsia="Times New Roman" w:hAnsi="Times New Roman" w:cs="Times New Roman"/>
          <w:bCs/>
          <w:i/>
          <w:sz w:val="24"/>
          <w:szCs w:val="24"/>
          <w:lang w:eastAsia="it-IT"/>
        </w:rPr>
        <w:t>Nel comparto industriale il fatturato si è moderatamente espanso e gli investimenti sono aumentati. Dopo la forte crescita del 2017 le esportazioni sono diminuite; vi ha contribuito la flessione nei comparti della metalmeccanica e della chimica. Nel settore delle costruzioni la produzione ha ristagnato, mentre in quello immobiliare le compravendite sono aumentate a un ritmo inferiore a quello medio nazionale ed è proseguita la flessione dei prezzi.</w:t>
      </w:r>
    </w:p>
    <w:p w:rsidR="008D331F" w:rsidRPr="007D1DFE" w:rsidRDefault="008D331F" w:rsidP="007D1DFE">
      <w:pPr>
        <w:spacing w:line="240" w:lineRule="auto"/>
        <w:jc w:val="both"/>
        <w:rPr>
          <w:rFonts w:ascii="Times New Roman" w:eastAsia="Times New Roman" w:hAnsi="Times New Roman" w:cs="Times New Roman"/>
          <w:bCs/>
          <w:i/>
          <w:sz w:val="24"/>
          <w:szCs w:val="24"/>
          <w:lang w:eastAsia="it-IT"/>
        </w:rPr>
      </w:pPr>
      <w:r w:rsidRPr="007D1DFE">
        <w:rPr>
          <w:rFonts w:ascii="Times New Roman" w:eastAsia="Times New Roman" w:hAnsi="Times New Roman" w:cs="Times New Roman"/>
          <w:bCs/>
          <w:i/>
          <w:sz w:val="24"/>
          <w:szCs w:val="24"/>
          <w:lang w:eastAsia="it-IT"/>
        </w:rPr>
        <w:t>Nei servizi il tono congiunturale si è indebolito e gli investimenti sono lievemente calati. La crescita del fatturato ha interessato solo le imprese di maggiori dimensioni, mentre per le più piccole si è registrato un calo. Le presenze di turisti e la spesa dei viaggiatori esteri, al contrario, hanno continuato a espandersi.</w:t>
      </w:r>
    </w:p>
    <w:p w:rsidR="003969CC" w:rsidRPr="007D1DFE" w:rsidRDefault="008D331F" w:rsidP="007D1DFE">
      <w:pPr>
        <w:spacing w:line="240" w:lineRule="auto"/>
        <w:jc w:val="both"/>
        <w:rPr>
          <w:rFonts w:ascii="Times New Roman" w:eastAsia="Times New Roman" w:hAnsi="Times New Roman" w:cs="Times New Roman"/>
          <w:bCs/>
          <w:i/>
          <w:sz w:val="24"/>
          <w:szCs w:val="24"/>
          <w:lang w:eastAsia="it-IT"/>
        </w:rPr>
      </w:pPr>
      <w:r w:rsidRPr="007D1DFE">
        <w:rPr>
          <w:rFonts w:ascii="Times New Roman" w:eastAsia="Times New Roman" w:hAnsi="Times New Roman" w:cs="Times New Roman"/>
          <w:bCs/>
          <w:i/>
          <w:sz w:val="24"/>
          <w:szCs w:val="24"/>
          <w:lang w:eastAsia="it-IT"/>
        </w:rPr>
        <w:t xml:space="preserve">Nel mercato del lavoro l’occupazione è aumentata a un tasso inferiore a quello registrato nel 2017; al calo degli occupati nei servizi e nelle costruzioni si è contrapposta una crescita nell’industria e in agricoltura. L’aumento ha interessato i lavoratori dipendenti, soprattutto a tempo determinato. </w:t>
      </w:r>
      <w:r w:rsidRPr="007D1DFE">
        <w:rPr>
          <w:rFonts w:ascii="Times New Roman" w:eastAsia="Times New Roman" w:hAnsi="Times New Roman" w:cs="Times New Roman"/>
          <w:bCs/>
          <w:i/>
          <w:sz w:val="24"/>
          <w:szCs w:val="24"/>
          <w:lang w:eastAsia="it-IT"/>
        </w:rPr>
        <w:lastRenderedPageBreak/>
        <w:t>Il tasso di disoccupazione è aumentato, anche per la riduzione del fenomeno dello scoraggiamento, e il ricorso alla Cassa Integrazione Guadagni (CIG) è diminuito</w:t>
      </w:r>
      <w:r w:rsidR="00684C81" w:rsidRPr="007D1DFE">
        <w:rPr>
          <w:rFonts w:ascii="Times New Roman" w:eastAsia="Times New Roman" w:hAnsi="Times New Roman" w:cs="Times New Roman"/>
          <w:bCs/>
          <w:sz w:val="24"/>
          <w:szCs w:val="24"/>
          <w:lang w:eastAsia="it-IT"/>
        </w:rPr>
        <w:t xml:space="preserve">” </w:t>
      </w:r>
      <w:r w:rsidR="00684C81" w:rsidRPr="007D1DFE">
        <w:rPr>
          <w:rStyle w:val="Rimandonotaapidipagina"/>
          <w:rFonts w:ascii="Times New Roman" w:eastAsia="Times New Roman" w:hAnsi="Times New Roman" w:cs="Times New Roman"/>
          <w:bCs/>
          <w:sz w:val="24"/>
          <w:szCs w:val="24"/>
          <w:lang w:eastAsia="it-IT"/>
        </w:rPr>
        <w:footnoteReference w:id="9"/>
      </w:r>
      <w:r w:rsidR="00F51566" w:rsidRPr="007D1DFE">
        <w:rPr>
          <w:rFonts w:ascii="Times New Roman" w:eastAsia="Times New Roman" w:hAnsi="Times New Roman" w:cs="Times New Roman"/>
          <w:bCs/>
          <w:sz w:val="24"/>
          <w:szCs w:val="24"/>
          <w:lang w:eastAsia="it-IT"/>
        </w:rPr>
        <w:t>.</w:t>
      </w:r>
    </w:p>
    <w:p w:rsidR="009903C3" w:rsidRPr="007D1DFE" w:rsidRDefault="009903C3" w:rsidP="007D1DFE">
      <w:pPr>
        <w:autoSpaceDE w:val="0"/>
        <w:autoSpaceDN w:val="0"/>
        <w:adjustRightInd w:val="0"/>
        <w:spacing w:line="240" w:lineRule="auto"/>
        <w:rPr>
          <w:rFonts w:ascii="Garamond" w:hAnsi="Garamond" w:cs="Garamond"/>
          <w:sz w:val="24"/>
          <w:szCs w:val="24"/>
        </w:rPr>
      </w:pPr>
    </w:p>
    <w:p w:rsidR="003D0F77" w:rsidRPr="007D1DFE" w:rsidRDefault="003D0F77" w:rsidP="007D1DFE">
      <w:pPr>
        <w:autoSpaceDE w:val="0"/>
        <w:autoSpaceDN w:val="0"/>
        <w:adjustRightInd w:val="0"/>
        <w:spacing w:line="240" w:lineRule="auto"/>
        <w:rPr>
          <w:rFonts w:ascii="Garamond" w:hAnsi="Garamond" w:cs="Garamond"/>
          <w:sz w:val="24"/>
          <w:szCs w:val="24"/>
        </w:rPr>
      </w:pPr>
    </w:p>
    <w:p w:rsidR="00B22997" w:rsidRPr="007D1DFE" w:rsidRDefault="009903C3" w:rsidP="007D1DFE">
      <w:pPr>
        <w:autoSpaceDE w:val="0"/>
        <w:autoSpaceDN w:val="0"/>
        <w:adjustRightInd w:val="0"/>
        <w:spacing w:line="240" w:lineRule="auto"/>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 xml:space="preserve">1.3. La presenza nel territorio di fenomeni di illegalità economica e di criminalità organizzata. </w:t>
      </w:r>
    </w:p>
    <w:p w:rsidR="00B22997" w:rsidRPr="007D1DFE" w:rsidRDefault="00B22997" w:rsidP="007D1DFE">
      <w:pPr>
        <w:spacing w:line="240" w:lineRule="auto"/>
        <w:jc w:val="both"/>
        <w:rPr>
          <w:rFonts w:ascii="Times New Roman" w:eastAsia="Times New Roman" w:hAnsi="Times New Roman" w:cs="Times New Roman"/>
          <w:bCs/>
          <w:sz w:val="24"/>
          <w:szCs w:val="24"/>
          <w:lang w:eastAsia="it-IT"/>
        </w:rPr>
      </w:pPr>
    </w:p>
    <w:p w:rsidR="009903C3" w:rsidRPr="007D1DFE" w:rsidRDefault="00FE528A" w:rsidP="007D1DFE">
      <w:pPr>
        <w:spacing w:line="240" w:lineRule="auto"/>
        <w:jc w:val="both"/>
        <w:rPr>
          <w:rFonts w:asciiTheme="majorHAnsi" w:eastAsia="Times New Roman" w:hAnsiTheme="majorHAnsi" w:cstheme="majorHAnsi"/>
          <w:bCs/>
          <w:sz w:val="24"/>
          <w:szCs w:val="24"/>
          <w:lang w:eastAsia="it-IT"/>
        </w:rPr>
      </w:pPr>
      <w:r w:rsidRPr="007D1DFE">
        <w:rPr>
          <w:rFonts w:asciiTheme="majorHAnsi" w:eastAsia="Times New Roman" w:hAnsiTheme="majorHAnsi" w:cstheme="majorHAnsi"/>
          <w:bCs/>
          <w:sz w:val="24"/>
          <w:szCs w:val="24"/>
          <w:lang w:eastAsia="it-IT"/>
        </w:rPr>
        <w:tab/>
      </w:r>
      <w:r w:rsidR="009903C3" w:rsidRPr="007D1DFE">
        <w:rPr>
          <w:rFonts w:asciiTheme="majorHAnsi" w:eastAsia="Times New Roman" w:hAnsiTheme="majorHAnsi" w:cstheme="majorHAnsi"/>
          <w:bCs/>
          <w:sz w:val="24"/>
          <w:szCs w:val="24"/>
          <w:lang w:eastAsia="it-IT"/>
        </w:rPr>
        <w:t xml:space="preserve">Parallelamente alla congiuntura economica generale degli ultimi anni si sono evidenziate virulenti manifestazioni di illegalità economica, che si traducono anche in reati contro la </w:t>
      </w:r>
      <w:r w:rsidR="00A458E0" w:rsidRPr="007D1DFE">
        <w:rPr>
          <w:rFonts w:asciiTheme="majorHAnsi" w:eastAsia="Times New Roman" w:hAnsiTheme="majorHAnsi" w:cstheme="majorHAnsi"/>
          <w:bCs/>
          <w:sz w:val="24"/>
          <w:szCs w:val="24"/>
          <w:lang w:eastAsia="it-IT"/>
        </w:rPr>
        <w:t>PA</w:t>
      </w:r>
      <w:r w:rsidR="009903C3" w:rsidRPr="007D1DFE">
        <w:rPr>
          <w:rFonts w:asciiTheme="majorHAnsi" w:eastAsia="Times New Roman" w:hAnsiTheme="majorHAnsi" w:cstheme="majorHAnsi"/>
          <w:bCs/>
          <w:sz w:val="24"/>
          <w:szCs w:val="24"/>
          <w:lang w:eastAsia="it-IT"/>
        </w:rPr>
        <w:t>, in diversi casi correlate alla presenza di forme di criminalità organizzata.</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heme="majorHAnsi" w:eastAsia="Times New Roman" w:hAnsiTheme="majorHAnsi" w:cstheme="majorHAnsi"/>
          <w:bCs/>
          <w:sz w:val="24"/>
          <w:szCs w:val="24"/>
          <w:lang w:eastAsia="it-IT"/>
        </w:rPr>
        <w:tab/>
        <w:t xml:space="preserve">Questa, </w:t>
      </w:r>
      <w:r w:rsidRPr="007D1DFE">
        <w:rPr>
          <w:rFonts w:asciiTheme="majorHAnsi" w:hAnsiTheme="majorHAnsi" w:cstheme="majorHAnsi"/>
          <w:sz w:val="24"/>
          <w:szCs w:val="24"/>
        </w:rPr>
        <w:t>non vede “</w:t>
      </w:r>
      <w:r w:rsidRPr="007D1DFE">
        <w:rPr>
          <w:rFonts w:asciiTheme="majorHAnsi" w:hAnsiTheme="majorHAnsi" w:cstheme="majorHAnsi"/>
          <w:i/>
          <w:sz w:val="24"/>
          <w:szCs w:val="24"/>
        </w:rPr>
        <w:t>un soggetto in posizione di forza e quindi di preminenza sugli altri ma sullo stesso territorio convivono e interagiscono diverse organizzazioni criminali, innanzitutto gruppi che costituiscono proiezioni delle mafie tradizionali. Insieme a queste proiezioni sullo stesso territorio coesistono inoltre gruppi criminali che danno vita, come abbiamo visto a proprie associazioni di matrice autoctona accomunate dall’utilizzo del cosiddetto metodo mafioso. Si determina cosi un perverso scambio di utilità criminali tra gruppi mafiosi e criminali che si riconoscono e si rispettano reciprocamente</w:t>
      </w:r>
      <w:r w:rsidRPr="007D1DFE">
        <w:rPr>
          <w:rFonts w:asciiTheme="majorHAnsi" w:hAnsiTheme="majorHAnsi" w:cstheme="majorHAnsi"/>
          <w:sz w:val="24"/>
          <w:szCs w:val="24"/>
        </w:rPr>
        <w:t xml:space="preserve">” </w:t>
      </w:r>
      <w:r w:rsidRPr="007D1DFE">
        <w:rPr>
          <w:rFonts w:asciiTheme="majorHAnsi" w:hAnsiTheme="majorHAnsi" w:cstheme="majorHAnsi"/>
          <w:sz w:val="24"/>
          <w:szCs w:val="24"/>
          <w:vertAlign w:val="superscript"/>
        </w:rPr>
        <w:footnoteReference w:id="10"/>
      </w:r>
      <w:r w:rsidR="00A959BF" w:rsidRPr="007D1DFE">
        <w:rPr>
          <w:rFonts w:asciiTheme="majorHAnsi" w:hAnsiTheme="majorHAnsi" w:cstheme="majorHAnsi"/>
          <w:sz w:val="24"/>
          <w:szCs w:val="24"/>
        </w:rPr>
        <w:t>.</w:t>
      </w:r>
      <w:r w:rsidR="00F51566" w:rsidRPr="007D1DFE">
        <w:rPr>
          <w:rFonts w:asciiTheme="majorHAnsi" w:hAnsiTheme="majorHAnsi" w:cstheme="majorHAnsi"/>
          <w:sz w:val="24"/>
          <w:szCs w:val="24"/>
        </w:rPr>
        <w:tab/>
      </w:r>
    </w:p>
    <w:p w:rsidR="009903C3" w:rsidRPr="007D1DFE" w:rsidRDefault="009903C3" w:rsidP="007D1DFE">
      <w:pPr>
        <w:spacing w:line="0" w:lineRule="atLeast"/>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Per quanto concerne la criminalità organizzata, secondo il Ministro dell’interno, il Lazio, “</w:t>
      </w:r>
      <w:r w:rsidRPr="007D1DFE">
        <w:rPr>
          <w:rFonts w:ascii="Times New Roman" w:eastAsia="Times New Roman" w:hAnsi="Times New Roman" w:cs="Times New Roman"/>
          <w:i/>
          <w:sz w:val="24"/>
          <w:szCs w:val="24"/>
          <w:lang w:eastAsia="it-IT"/>
        </w:rPr>
        <w:t>per la sua posizione geografica…e la presenza della Capitale, si conferma una regione che favorisce la penetrazione tanto delle tradizionali organizzazioni mafiose nazionali che di quelle straniere</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vertAlign w:val="superscript"/>
          <w:lang w:eastAsia="it-IT"/>
        </w:rPr>
        <w:footnoteReference w:id="11"/>
      </w:r>
      <w:r w:rsidRPr="007D1DFE">
        <w:rPr>
          <w:rFonts w:ascii="Times New Roman" w:eastAsia="Times New Roman" w:hAnsi="Times New Roman" w:cs="Times New Roman"/>
          <w:sz w:val="24"/>
          <w:szCs w:val="24"/>
          <w:lang w:eastAsia="it-IT"/>
        </w:rPr>
        <w:t>. Inoltre, “</w:t>
      </w:r>
      <w:r w:rsidRPr="007D1DFE">
        <w:rPr>
          <w:rFonts w:ascii="Times New Roman" w:eastAsia="Times New Roman" w:hAnsi="Times New Roman" w:cs="Times New Roman"/>
          <w:i/>
          <w:sz w:val="24"/>
          <w:szCs w:val="24"/>
          <w:lang w:eastAsia="it-IT"/>
        </w:rPr>
        <w:t xml:space="preserve">pur escludendo il controllo sistematico del territorio in analogia a quanto esercitato nelle aree di origine, il Lazio e, segnatamente Roma, costituisce un luogo strategico per le organizzazioni di matrice mafiosa: </w:t>
      </w:r>
      <w:r w:rsidR="003B31B6" w:rsidRPr="007D1DFE">
        <w:rPr>
          <w:rFonts w:ascii="Times New Roman" w:eastAsia="Times New Roman" w:hAnsi="Times New Roman" w:cs="Times New Roman"/>
          <w:i/>
          <w:sz w:val="24"/>
          <w:szCs w:val="24"/>
          <w:lang w:eastAsia="it-IT"/>
        </w:rPr>
        <w:t>c</w:t>
      </w:r>
      <w:r w:rsidRPr="007D1DFE">
        <w:rPr>
          <w:rFonts w:ascii="Times New Roman" w:eastAsia="Times New Roman" w:hAnsi="Times New Roman" w:cs="Times New Roman"/>
          <w:i/>
          <w:sz w:val="24"/>
          <w:szCs w:val="24"/>
          <w:lang w:eastAsia="it-IT"/>
        </w:rPr>
        <w:t xml:space="preserve">osa </w:t>
      </w:r>
      <w:r w:rsidR="003B31B6" w:rsidRPr="007D1DFE">
        <w:rPr>
          <w:rFonts w:ascii="Times New Roman" w:eastAsia="Times New Roman" w:hAnsi="Times New Roman" w:cs="Times New Roman"/>
          <w:i/>
          <w:sz w:val="24"/>
          <w:szCs w:val="24"/>
          <w:lang w:eastAsia="it-IT"/>
        </w:rPr>
        <w:t>n</w:t>
      </w:r>
      <w:r w:rsidRPr="007D1DFE">
        <w:rPr>
          <w:rFonts w:ascii="Times New Roman" w:eastAsia="Times New Roman" w:hAnsi="Times New Roman" w:cs="Times New Roman"/>
          <w:i/>
          <w:sz w:val="24"/>
          <w:szCs w:val="24"/>
          <w:lang w:eastAsia="it-IT"/>
        </w:rPr>
        <w:t>ostra siciliana e ‘</w:t>
      </w:r>
      <w:r w:rsidR="003B31B6" w:rsidRPr="007D1DFE">
        <w:rPr>
          <w:rFonts w:ascii="Times New Roman" w:eastAsia="Times New Roman" w:hAnsi="Times New Roman" w:cs="Times New Roman"/>
          <w:i/>
          <w:sz w:val="24"/>
          <w:szCs w:val="24"/>
          <w:lang w:eastAsia="it-IT"/>
        </w:rPr>
        <w:t>n</w:t>
      </w:r>
      <w:r w:rsidRPr="007D1DFE">
        <w:rPr>
          <w:rFonts w:ascii="Times New Roman" w:eastAsia="Times New Roman" w:hAnsi="Times New Roman" w:cs="Times New Roman"/>
          <w:i/>
          <w:sz w:val="24"/>
          <w:szCs w:val="24"/>
          <w:lang w:eastAsia="it-IT"/>
        </w:rPr>
        <w:t xml:space="preserve">drangheta, in particolare, ai fini del riciclaggio; </w:t>
      </w:r>
      <w:r w:rsidR="003B31B6" w:rsidRPr="007D1DFE">
        <w:rPr>
          <w:rFonts w:ascii="Times New Roman" w:eastAsia="Times New Roman" w:hAnsi="Times New Roman" w:cs="Times New Roman"/>
          <w:i/>
          <w:sz w:val="24"/>
          <w:szCs w:val="24"/>
          <w:lang w:eastAsia="it-IT"/>
        </w:rPr>
        <w:t>c</w:t>
      </w:r>
      <w:r w:rsidRPr="007D1DFE">
        <w:rPr>
          <w:rFonts w:ascii="Times New Roman" w:eastAsia="Times New Roman" w:hAnsi="Times New Roman" w:cs="Times New Roman"/>
          <w:i/>
          <w:sz w:val="24"/>
          <w:szCs w:val="24"/>
          <w:lang w:eastAsia="it-IT"/>
        </w:rPr>
        <w:t>amorra quanto al riciclaggio dei proventi illeciti ed il supporto ai latitanti.</w:t>
      </w:r>
      <w:r w:rsidRPr="007D1DFE">
        <w:rPr>
          <w:rFonts w:ascii="Times New Roman" w:eastAsia="Times New Roman" w:hAnsi="Times New Roman" w:cs="Times New Roman"/>
          <w:sz w:val="24"/>
          <w:szCs w:val="24"/>
          <w:lang w:eastAsia="it-IT"/>
        </w:rPr>
        <w:t xml:space="preserve">”. Sempre secondo il Ministro dell’interno, sia “cosa nostra” che la “camorra” si sono dedicate ad investimenti e ad infiltrazioni nel tessuto socio economico e della pubblica amministrazione per l’acquisizione e la gestione di appalti, utilizzando talvolta specifiche professionalità. </w:t>
      </w:r>
    </w:p>
    <w:p w:rsidR="009903C3" w:rsidRPr="007D1DFE" w:rsidRDefault="009903C3" w:rsidP="007D1DFE">
      <w:pPr>
        <w:spacing w:line="0" w:lineRule="atLeast"/>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Nella provincia di Roma, in particolare, risultano operare gruppi di criminalità organizzata dediti prevalentemente al riciclaggio. Le mafie risultano investire principalmente in ristoranti ed esercizi commerciali, sia a Roma che sul litorale romano </w:t>
      </w:r>
      <w:r w:rsidRPr="007D1DFE">
        <w:rPr>
          <w:rFonts w:ascii="Times New Roman" w:eastAsia="Times New Roman" w:hAnsi="Times New Roman" w:cs="Times New Roman"/>
          <w:sz w:val="24"/>
          <w:szCs w:val="24"/>
          <w:vertAlign w:val="superscript"/>
          <w:lang w:eastAsia="it-IT"/>
        </w:rPr>
        <w:footnoteReference w:id="12"/>
      </w:r>
      <w:r w:rsidRPr="007D1DFE">
        <w:rPr>
          <w:rFonts w:ascii="Times New Roman" w:eastAsia="Times New Roman" w:hAnsi="Times New Roman" w:cs="Times New Roman"/>
          <w:sz w:val="24"/>
          <w:szCs w:val="24"/>
          <w:lang w:eastAsia="it-IT"/>
        </w:rPr>
        <w:t>.</w:t>
      </w:r>
    </w:p>
    <w:p w:rsidR="009903C3" w:rsidRPr="007D1DFE" w:rsidRDefault="009903C3" w:rsidP="007D1DFE">
      <w:pPr>
        <w:spacing w:line="0" w:lineRule="atLeast"/>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Nel proprio intervento presso la “Commissione speciale sulla criminalità organizzata, la corruzione e il riciclaggio di denaro” – Bruxelles 18 giugno 2013 -  il Direttore della Direzione investigativa antimafia – D.I.A. ha ricordato come l’azione della criminalità organizzata “</w:t>
      </w:r>
      <w:r w:rsidRPr="007D1DFE">
        <w:rPr>
          <w:rFonts w:ascii="Times New Roman" w:eastAsia="Times New Roman" w:hAnsi="Times New Roman" w:cs="Times New Roman"/>
          <w:i/>
          <w:sz w:val="24"/>
          <w:szCs w:val="24"/>
          <w:lang w:eastAsia="it-IT"/>
        </w:rPr>
        <w:t>incide pesantemente sull’economia globalizzata, riuscendo a sfruttarne le debolezze e le fragilità mediante sofisticate condotte illecite transnazionali, poste in essere dalle associazioni mafiose in cooperazione tra di loro….Esse sono in grado di riciclare/reinvestire enormi capitali, derivanti dai lucrosi traffici illeciti, che, reinseriti nel tessuto sano dell’economia, rappresentano una seria minaccia per la libertà d’impresa economica e di concorrenza, per via dei gravi effetti distorsivi prodotti. Tale problema diventa ancor più rilevante in un periodo di grave crisi economico-finanziaria, come quello attuale, caratterizzato oltretutto da una forte stretta creditizia. L’impresa mafiosa gode, infatti, di enormi vantaggi rispetto all’imprenditore onesto, in quanto dispone di capitali virtualmente illimitati e a costo zero. Inoltre, grazie a questa grande disponibilità</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i/>
          <w:sz w:val="24"/>
          <w:szCs w:val="24"/>
          <w:lang w:eastAsia="it-IT"/>
        </w:rPr>
        <w:lastRenderedPageBreak/>
        <w:t>finanziaria, nella realizzazione dei suoi programmi delittuosi, la criminalità organizzata tende sempre più a condizionare le attività della pubblica amministrazione, a intromettersi nei relativi circuiti finanziari, ad assicurarsi la connivenza di rappresentanti dell’area politico-amministrativa e dell’imprenditoria. In base alle esperienze operative fin qui maturate, il condizionamento dell’apparato politico-amministrativo si manifesta, prevalentemente, nei settori degli appalti e dei lavori per la realizzazione di opere pubbliche; dei finanziamenti pubblici; dello smaltimento dei rifiuti; dei contratti diretti all'acquisizione di beni di ogni tipo ed alla gestione di servizi</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vertAlign w:val="superscript"/>
          <w:lang w:eastAsia="it-IT"/>
        </w:rPr>
        <w:footnoteReference w:id="13"/>
      </w:r>
      <w:r w:rsidR="00A959BF" w:rsidRPr="007D1DFE">
        <w:rPr>
          <w:rFonts w:ascii="Times New Roman" w:eastAsia="Times New Roman" w:hAnsi="Times New Roman" w:cs="Times New Roman"/>
          <w:sz w:val="24"/>
          <w:szCs w:val="24"/>
          <w:lang w:eastAsia="it-IT"/>
        </w:rPr>
        <w:t>.</w:t>
      </w:r>
    </w:p>
    <w:p w:rsidR="00A959BF" w:rsidRPr="007D1DFE" w:rsidRDefault="00A959BF" w:rsidP="007D1DFE">
      <w:pPr>
        <w:spacing w:line="0" w:lineRule="atLeast"/>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L’Osservatorio Tecnico – Scientifico per la Sicurezza e la Legalità della Regione, che ogni anno redige il Rapporto Mafie nel Lazio, ha rilevato che nel territorio laziale sono presenti 92 organizzazioni criminali. Si tratta di clan delle mafie storiche e gruppi criminali locali che operano anche in sinergia tra loro. In particolare, “</w:t>
      </w:r>
      <w:r w:rsidRPr="007D1DFE">
        <w:rPr>
          <w:rFonts w:ascii="Times New Roman" w:eastAsia="Times New Roman" w:hAnsi="Times New Roman" w:cs="Times New Roman"/>
          <w:i/>
          <w:sz w:val="24"/>
          <w:szCs w:val="24"/>
          <w:lang w:eastAsia="it-IT"/>
        </w:rPr>
        <w:t>I clan condizionano e mettono a rischio il regolare svolgimento delle attività amministrative, commettono reati in ambito finanziario, occupano gran parte del mercato immobiliare, della ristorazione, della filiera del gioco d’azzardo e, attraverso diverse forme di condizionamento, del comparto alberghiero – turistico – balneare</w:t>
      </w:r>
      <w:r w:rsidRPr="007D1DFE">
        <w:rPr>
          <w:rFonts w:ascii="Times New Roman" w:eastAsia="Times New Roman" w:hAnsi="Times New Roman" w:cs="Times New Roman"/>
          <w:sz w:val="24"/>
          <w:szCs w:val="24"/>
          <w:lang w:eastAsia="it-IT"/>
        </w:rPr>
        <w:t>”.</w:t>
      </w:r>
    </w:p>
    <w:p w:rsidR="00A959BF" w:rsidRPr="007D1DFE" w:rsidRDefault="00A959BF" w:rsidP="007D1DFE">
      <w:pPr>
        <w:spacing w:line="0" w:lineRule="atLeast"/>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Nel corso del 2017 si è concluso, con diverse condanne, il procedimento di primo grado relativo alle note vicende di “</w:t>
      </w:r>
      <w:r w:rsidRPr="007D1DFE">
        <w:rPr>
          <w:rFonts w:ascii="Times New Roman" w:eastAsia="Times New Roman" w:hAnsi="Times New Roman" w:cs="Times New Roman"/>
          <w:i/>
          <w:sz w:val="24"/>
          <w:szCs w:val="24"/>
          <w:lang w:eastAsia="it-IT"/>
        </w:rPr>
        <w:t>mafia capitale</w:t>
      </w:r>
      <w:r w:rsidRPr="007D1DFE">
        <w:rPr>
          <w:rFonts w:ascii="Times New Roman" w:eastAsia="Times New Roman" w:hAnsi="Times New Roman" w:cs="Times New Roman"/>
          <w:sz w:val="24"/>
          <w:szCs w:val="24"/>
          <w:lang w:eastAsia="it-IT"/>
        </w:rPr>
        <w:t>”.</w:t>
      </w:r>
    </w:p>
    <w:p w:rsidR="00A959BF" w:rsidRPr="007D1DFE" w:rsidRDefault="00A959BF" w:rsidP="007D1DFE">
      <w:pPr>
        <w:spacing w:line="0" w:lineRule="atLeast"/>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Pur tuttavia, il Tribunale ha ritenuto di escludere, a carico dei componenti l’organizzazione criminale, l’elemento dell’assimilabilità alle associazioni mafiose che, qualora accertato, avrebbe comportato un aggravamento dell’entità delle pene inflitte, poiché, secondo il Tribunale,  “</w:t>
      </w:r>
      <w:r w:rsidRPr="007D1DFE">
        <w:rPr>
          <w:rFonts w:ascii="Times New Roman" w:eastAsia="Times New Roman" w:hAnsi="Times New Roman" w:cs="Times New Roman"/>
          <w:i/>
          <w:sz w:val="24"/>
          <w:szCs w:val="24"/>
          <w:lang w:eastAsia="it-IT"/>
        </w:rPr>
        <w:t>ai fini del reato di cui all’ art. 416 bis c.p., è necessario l’impiego del metodo mafioso e, dunque, il reato non si configura quando il risultato illecito sia conseguito con il ricorso sistematico alla corruzione, anche se inserita nel contesto di cordate politico-affaristiche ed anche ove queste si rivelino particolarmente pericolose perché capaci di infiltrazioni stabili nella sfera politico-economica</w:t>
      </w:r>
      <w:r w:rsidRPr="007D1DFE">
        <w:rPr>
          <w:rFonts w:ascii="Times New Roman" w:eastAsia="Times New Roman" w:hAnsi="Times New Roman" w:cs="Times New Roman"/>
          <w:sz w:val="24"/>
          <w:szCs w:val="24"/>
          <w:lang w:eastAsia="it-IT"/>
        </w:rPr>
        <w:t>».</w:t>
      </w:r>
    </w:p>
    <w:p w:rsidR="00E4038F" w:rsidRPr="007D1DFE" w:rsidRDefault="00A959BF" w:rsidP="007D1DFE">
      <w:pPr>
        <w:spacing w:line="0" w:lineRule="atLeast"/>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Contro la sentenza di primo grado, e nello specifico avverso le suddette conclusioni</w:t>
      </w:r>
      <w:r w:rsidR="00E4038F" w:rsidRPr="007D1DFE">
        <w:rPr>
          <w:rFonts w:ascii="Times New Roman" w:eastAsia="Times New Roman" w:hAnsi="Times New Roman" w:cs="Times New Roman"/>
          <w:sz w:val="24"/>
          <w:szCs w:val="24"/>
          <w:lang w:eastAsia="it-IT"/>
        </w:rPr>
        <w:t xml:space="preserve"> è</w:t>
      </w:r>
      <w:r w:rsidRPr="007D1DFE">
        <w:rPr>
          <w:rFonts w:ascii="Times New Roman" w:eastAsia="Times New Roman" w:hAnsi="Times New Roman" w:cs="Times New Roman"/>
          <w:sz w:val="24"/>
          <w:szCs w:val="24"/>
          <w:lang w:eastAsia="it-IT"/>
        </w:rPr>
        <w:t xml:space="preserve"> ricors</w:t>
      </w:r>
      <w:r w:rsidR="00E4038F"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 xml:space="preserve"> in appello </w:t>
      </w:r>
      <w:r w:rsidR="00E4038F" w:rsidRPr="007D1DFE">
        <w:rPr>
          <w:rFonts w:ascii="Times New Roman" w:eastAsia="Times New Roman" w:hAnsi="Times New Roman" w:cs="Times New Roman"/>
          <w:sz w:val="24"/>
          <w:szCs w:val="24"/>
          <w:lang w:eastAsia="it-IT"/>
        </w:rPr>
        <w:t>la</w:t>
      </w:r>
      <w:r w:rsidRPr="007D1DFE">
        <w:rPr>
          <w:rFonts w:ascii="Times New Roman" w:eastAsia="Times New Roman" w:hAnsi="Times New Roman" w:cs="Times New Roman"/>
          <w:sz w:val="24"/>
          <w:szCs w:val="24"/>
          <w:lang w:eastAsia="it-IT"/>
        </w:rPr>
        <w:t xml:space="preserve"> Procura di Roma</w:t>
      </w:r>
      <w:r w:rsidR="00E4038F" w:rsidRPr="007D1DFE">
        <w:rPr>
          <w:rFonts w:ascii="Times New Roman" w:eastAsia="Times New Roman" w:hAnsi="Times New Roman" w:cs="Times New Roman"/>
          <w:sz w:val="24"/>
          <w:szCs w:val="24"/>
          <w:lang w:eastAsia="it-IT"/>
        </w:rPr>
        <w:t xml:space="preserve"> e in data 11 settembre 2018 la terza Sezione della Corte d’Appello di Roma ha ribaltato la decisione del Tribunale accertando la ricorrenza del reato di cui all’art. 416 bis c.p. in quanto, si legge nelle motivazioni, “</w:t>
      </w:r>
      <w:r w:rsidR="00E4038F" w:rsidRPr="007D1DFE">
        <w:rPr>
          <w:rFonts w:ascii="Times New Roman" w:eastAsia="Times New Roman" w:hAnsi="Times New Roman" w:cs="Times New Roman"/>
          <w:i/>
          <w:sz w:val="24"/>
          <w:szCs w:val="24"/>
          <w:lang w:eastAsia="it-IT"/>
        </w:rPr>
        <w:t>ai fini della sussistenza del delitto di associazione mafiosa, non è rilevante né il numero modesto delle vittime (che il tribunale ha indicato nel numero di 11) né il limitato contesto relazionale e territoriale. Non può escludersi il carattere mafioso della nuova associazione perché non sono elementi costitutivi di tale elemento né il controllo generale del territorio né una generalizzata condizione di assoggettamento e omertà della collettività</w:t>
      </w:r>
      <w:r w:rsidR="00E4038F" w:rsidRPr="007D1DFE">
        <w:rPr>
          <w:rFonts w:ascii="Times New Roman" w:eastAsia="Times New Roman" w:hAnsi="Times New Roman" w:cs="Times New Roman"/>
          <w:sz w:val="24"/>
          <w:szCs w:val="24"/>
          <w:lang w:eastAsia="it-IT"/>
        </w:rPr>
        <w:t>.” “</w:t>
      </w:r>
      <w:r w:rsidR="00363C5F" w:rsidRPr="007D1DFE">
        <w:rPr>
          <w:rFonts w:ascii="Times New Roman" w:eastAsia="Times New Roman" w:hAnsi="Times New Roman" w:cs="Times New Roman"/>
          <w:i/>
          <w:sz w:val="24"/>
          <w:szCs w:val="24"/>
          <w:lang w:eastAsia="it-IT"/>
        </w:rPr>
        <w:t>Elementi di fatto a conferma del carattere mafioso dell'associazione possono trarsi anche dalla protezione garantita ad imprenditori e dal successivo inserimento nella loro attività con un rapporto caratterizzato dalla gestione di affari in comune</w:t>
      </w:r>
      <w:r w:rsidR="00363C5F" w:rsidRPr="007D1DFE">
        <w:rPr>
          <w:rFonts w:ascii="Times New Roman" w:eastAsia="Times New Roman" w:hAnsi="Times New Roman" w:cs="Times New Roman"/>
          <w:sz w:val="24"/>
          <w:szCs w:val="24"/>
          <w:lang w:eastAsia="it-IT"/>
        </w:rPr>
        <w:t>“</w:t>
      </w:r>
      <w:r w:rsidR="00E4038F" w:rsidRPr="007D1DFE">
        <w:rPr>
          <w:rFonts w:ascii="Times New Roman" w:eastAsia="Times New Roman" w:hAnsi="Times New Roman" w:cs="Times New Roman"/>
          <w:sz w:val="24"/>
          <w:szCs w:val="24"/>
          <w:lang w:eastAsia="it-IT"/>
        </w:rPr>
        <w:t xml:space="preserve"> dandosi rilievo alla mancanza di denunce delle violenze e intimidazioni subite “</w:t>
      </w:r>
      <w:r w:rsidR="00E4038F" w:rsidRPr="007D1DFE">
        <w:rPr>
          <w:rFonts w:ascii="Times New Roman" w:eastAsia="Times New Roman" w:hAnsi="Times New Roman" w:cs="Times New Roman"/>
          <w:i/>
          <w:sz w:val="24"/>
          <w:szCs w:val="24"/>
          <w:lang w:eastAsia="it-IT"/>
        </w:rPr>
        <w:t>e nel settore della pubblica amministrazione nessuno, e nemmeno gli imprenditori che avevano rinunciato a gare di appalti, presentò atti di denuncia o manifestò dissenso. Questa condizione di assoggettamento e di omertà derivante dalla forza intimidatrice espressa dall'associazione emerse soltanto grazie alle intercettazioni telefoniche</w:t>
      </w:r>
      <w:r w:rsidR="00E4038F" w:rsidRPr="007D1DFE">
        <w:rPr>
          <w:rFonts w:ascii="Times New Roman" w:eastAsia="Times New Roman" w:hAnsi="Times New Roman" w:cs="Times New Roman"/>
          <w:sz w:val="24"/>
          <w:szCs w:val="24"/>
          <w:lang w:eastAsia="it-IT"/>
        </w:rPr>
        <w:t>"</w:t>
      </w:r>
    </w:p>
    <w:p w:rsidR="009E3EA5" w:rsidRPr="007D1DFE" w:rsidRDefault="00A959BF" w:rsidP="007D1DFE">
      <w:pPr>
        <w:spacing w:after="24" w:line="240" w:lineRule="atLeast"/>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Cs/>
          <w:sz w:val="24"/>
          <w:szCs w:val="24"/>
          <w:lang w:eastAsia="it-IT"/>
        </w:rPr>
        <w:t xml:space="preserve">Il 13 novembre </w:t>
      </w:r>
      <w:r w:rsidR="00AA7BC0" w:rsidRPr="007D1DFE">
        <w:rPr>
          <w:rFonts w:ascii="Times New Roman" w:eastAsia="Times New Roman" w:hAnsi="Times New Roman" w:cs="Times New Roman"/>
          <w:bCs/>
          <w:sz w:val="24"/>
          <w:szCs w:val="24"/>
          <w:lang w:eastAsia="it-IT"/>
        </w:rPr>
        <w:t>2017</w:t>
      </w:r>
      <w:r w:rsidRPr="007D1DFE">
        <w:rPr>
          <w:rFonts w:ascii="Times New Roman" w:eastAsia="Times New Roman" w:hAnsi="Times New Roman" w:cs="Times New Roman"/>
          <w:bCs/>
          <w:sz w:val="24"/>
          <w:szCs w:val="24"/>
          <w:lang w:eastAsia="it-IT"/>
        </w:rPr>
        <w:t xml:space="preserve"> è stato sottoscritto un </w:t>
      </w:r>
      <w:r w:rsidR="00D12417" w:rsidRPr="007D1DFE">
        <w:rPr>
          <w:rFonts w:ascii="Times New Roman" w:eastAsia="Times New Roman" w:hAnsi="Times New Roman" w:cs="Times New Roman"/>
          <w:bCs/>
          <w:sz w:val="24"/>
          <w:szCs w:val="24"/>
          <w:lang w:eastAsia="it-IT"/>
        </w:rPr>
        <w:t>P</w:t>
      </w:r>
      <w:r w:rsidRPr="007D1DFE">
        <w:rPr>
          <w:rFonts w:ascii="Times New Roman" w:eastAsia="Times New Roman" w:hAnsi="Times New Roman" w:cs="Times New Roman"/>
          <w:bCs/>
          <w:sz w:val="24"/>
          <w:szCs w:val="24"/>
          <w:lang w:eastAsia="it-IT"/>
        </w:rPr>
        <w:t xml:space="preserve">rotocollo di </w:t>
      </w:r>
      <w:proofErr w:type="spellStart"/>
      <w:r w:rsidR="00D12417" w:rsidRPr="007D1DFE">
        <w:rPr>
          <w:rFonts w:ascii="Times New Roman" w:eastAsia="Times New Roman" w:hAnsi="Times New Roman" w:cs="Times New Roman"/>
          <w:bCs/>
          <w:sz w:val="24"/>
          <w:szCs w:val="24"/>
          <w:lang w:eastAsia="it-IT"/>
        </w:rPr>
        <w:t>I</w:t>
      </w:r>
      <w:r w:rsidRPr="007D1DFE">
        <w:rPr>
          <w:rFonts w:ascii="Times New Roman" w:eastAsia="Times New Roman" w:hAnsi="Times New Roman" w:cs="Times New Roman"/>
          <w:bCs/>
          <w:sz w:val="24"/>
          <w:szCs w:val="24"/>
          <w:lang w:eastAsia="it-IT"/>
        </w:rPr>
        <w:t>intesa</w:t>
      </w:r>
      <w:proofErr w:type="spellEnd"/>
      <w:r w:rsidRPr="007D1DFE">
        <w:rPr>
          <w:rFonts w:ascii="Times New Roman" w:eastAsia="Times New Roman" w:hAnsi="Times New Roman" w:cs="Times New Roman"/>
          <w:bCs/>
          <w:sz w:val="24"/>
          <w:szCs w:val="24"/>
          <w:lang w:eastAsia="it-IT"/>
        </w:rPr>
        <w:t xml:space="preserve"> tra l’</w:t>
      </w:r>
      <w:r w:rsidR="00D12417" w:rsidRPr="007D1DFE">
        <w:rPr>
          <w:rFonts w:ascii="Times New Roman" w:eastAsia="Times New Roman" w:hAnsi="Times New Roman" w:cs="Times New Roman"/>
          <w:bCs/>
          <w:sz w:val="24"/>
          <w:szCs w:val="24"/>
          <w:lang w:eastAsia="it-IT"/>
        </w:rPr>
        <w:t xml:space="preserve">ANAC e </w:t>
      </w:r>
      <w:r w:rsidRPr="007D1DFE">
        <w:rPr>
          <w:rFonts w:ascii="Times New Roman" w:eastAsia="Times New Roman" w:hAnsi="Times New Roman" w:cs="Times New Roman"/>
          <w:bCs/>
          <w:sz w:val="24"/>
          <w:szCs w:val="24"/>
          <w:lang w:eastAsia="it-IT"/>
        </w:rPr>
        <w:t>l</w:t>
      </w:r>
      <w:r w:rsidR="00FE528A" w:rsidRPr="007D1DFE">
        <w:rPr>
          <w:rFonts w:ascii="Times New Roman" w:eastAsia="Times New Roman" w:hAnsi="Times New Roman" w:cs="Times New Roman"/>
          <w:bCs/>
          <w:sz w:val="24"/>
          <w:szCs w:val="24"/>
          <w:lang w:eastAsia="it-IT"/>
        </w:rPr>
        <w:t xml:space="preserve">a Direzione </w:t>
      </w:r>
      <w:r w:rsidRPr="007D1DFE">
        <w:rPr>
          <w:rFonts w:ascii="Times New Roman" w:eastAsia="Times New Roman" w:hAnsi="Times New Roman" w:cs="Times New Roman"/>
          <w:bCs/>
          <w:sz w:val="24"/>
          <w:szCs w:val="24"/>
          <w:lang w:eastAsia="it-IT"/>
        </w:rPr>
        <w:t>N</w:t>
      </w:r>
      <w:r w:rsidR="00FE528A" w:rsidRPr="007D1DFE">
        <w:rPr>
          <w:rFonts w:ascii="Times New Roman" w:eastAsia="Times New Roman" w:hAnsi="Times New Roman" w:cs="Times New Roman"/>
          <w:bCs/>
          <w:sz w:val="24"/>
          <w:szCs w:val="24"/>
          <w:lang w:eastAsia="it-IT"/>
        </w:rPr>
        <w:t xml:space="preserve">azionale </w:t>
      </w:r>
      <w:r w:rsidRPr="007D1DFE">
        <w:rPr>
          <w:rFonts w:ascii="Times New Roman" w:eastAsia="Times New Roman" w:hAnsi="Times New Roman" w:cs="Times New Roman"/>
          <w:bCs/>
          <w:sz w:val="24"/>
          <w:szCs w:val="24"/>
          <w:lang w:eastAsia="it-IT"/>
        </w:rPr>
        <w:t>A</w:t>
      </w:r>
      <w:r w:rsidR="00FE528A" w:rsidRPr="007D1DFE">
        <w:rPr>
          <w:rFonts w:ascii="Times New Roman" w:eastAsia="Times New Roman" w:hAnsi="Times New Roman" w:cs="Times New Roman"/>
          <w:bCs/>
          <w:sz w:val="24"/>
          <w:szCs w:val="24"/>
          <w:lang w:eastAsia="it-IT"/>
        </w:rPr>
        <w:t xml:space="preserve">ntimafia </w:t>
      </w:r>
      <w:r w:rsidRPr="007D1DFE">
        <w:rPr>
          <w:rFonts w:ascii="Times New Roman" w:eastAsia="Times New Roman" w:hAnsi="Times New Roman" w:cs="Times New Roman"/>
          <w:bCs/>
          <w:sz w:val="24"/>
          <w:szCs w:val="24"/>
          <w:lang w:eastAsia="it-IT"/>
        </w:rPr>
        <w:t>e Antiterrorismo (</w:t>
      </w:r>
      <w:r w:rsidR="00D12417" w:rsidRPr="007D1DFE">
        <w:rPr>
          <w:rFonts w:ascii="Times New Roman" w:eastAsia="Times New Roman" w:hAnsi="Times New Roman" w:cs="Times New Roman"/>
          <w:bCs/>
          <w:sz w:val="24"/>
          <w:szCs w:val="24"/>
          <w:lang w:eastAsia="it-IT"/>
        </w:rPr>
        <w:t>DNA).</w:t>
      </w:r>
    </w:p>
    <w:p w:rsidR="009E3EA5" w:rsidRPr="007D1DFE" w:rsidRDefault="009E3EA5" w:rsidP="007D1DFE">
      <w:pPr>
        <w:spacing w:after="24" w:line="240" w:lineRule="atLeast"/>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Nel protocollo sono presenti delle valutazioni, riferite all’intero territorio nazionale, secondo le quali “</w:t>
      </w:r>
      <w:r w:rsidRPr="007D1DFE">
        <w:rPr>
          <w:rFonts w:ascii="Times New Roman" w:eastAsia="Times New Roman" w:hAnsi="Times New Roman" w:cs="Times New Roman"/>
          <w:bCs/>
          <w:i/>
          <w:sz w:val="24"/>
          <w:szCs w:val="24"/>
          <w:lang w:eastAsia="it-IT"/>
        </w:rPr>
        <w:t>è ormai un dato giudiziariamente acquisito la forte interazione tra la consumazione dei reati contro la Pubblica Amministrazione e la criminalità organizzata di tipo mafioso</w:t>
      </w:r>
      <w:r w:rsidRPr="007D1DFE">
        <w:rPr>
          <w:rFonts w:ascii="Times New Roman" w:eastAsia="Times New Roman" w:hAnsi="Times New Roman" w:cs="Times New Roman"/>
          <w:bCs/>
          <w:sz w:val="24"/>
          <w:szCs w:val="24"/>
          <w:lang w:eastAsia="it-IT"/>
        </w:rPr>
        <w:t>”, e ancora “</w:t>
      </w:r>
      <w:r w:rsidRPr="007D1DFE">
        <w:rPr>
          <w:rFonts w:ascii="Times New Roman" w:eastAsia="Times New Roman" w:hAnsi="Times New Roman" w:cs="Times New Roman"/>
          <w:bCs/>
          <w:i/>
          <w:sz w:val="24"/>
          <w:szCs w:val="24"/>
          <w:lang w:eastAsia="it-IT"/>
        </w:rPr>
        <w:t xml:space="preserve">che la corruzione rappresenta uno degli strumenti fondamentali con cui le associazioni con fini delinquenziali si assicurano il controllo dell’azione amministrativa, anche attraverso il condizionamento degli apparati politici locali, come evidenziano i numerosi provvedimenti di </w:t>
      </w:r>
      <w:r w:rsidRPr="007D1DFE">
        <w:rPr>
          <w:rFonts w:ascii="Times New Roman" w:eastAsia="Times New Roman" w:hAnsi="Times New Roman" w:cs="Times New Roman"/>
          <w:bCs/>
          <w:i/>
          <w:sz w:val="24"/>
          <w:szCs w:val="24"/>
          <w:lang w:eastAsia="it-IT"/>
        </w:rPr>
        <w:lastRenderedPageBreak/>
        <w:t>scioglimento di consigli comunali per infiltrazioni e/o condizionamenti di tipo mafioso</w:t>
      </w:r>
      <w:r w:rsidRPr="007D1DFE">
        <w:rPr>
          <w:rFonts w:ascii="Times New Roman" w:eastAsia="Times New Roman" w:hAnsi="Times New Roman" w:cs="Times New Roman"/>
          <w:bCs/>
          <w:sz w:val="24"/>
          <w:szCs w:val="24"/>
          <w:lang w:eastAsia="it-IT"/>
        </w:rPr>
        <w:t>” e che “</w:t>
      </w:r>
      <w:r w:rsidRPr="007D1DFE">
        <w:rPr>
          <w:rFonts w:ascii="Times New Roman" w:eastAsia="Times New Roman" w:hAnsi="Times New Roman" w:cs="Times New Roman"/>
          <w:bCs/>
          <w:i/>
          <w:sz w:val="24"/>
          <w:szCs w:val="24"/>
          <w:lang w:eastAsia="it-IT"/>
        </w:rPr>
        <w:t>l’infiltrazione della criminalità mafiosa nell’economia, ed in particolare</w:t>
      </w:r>
      <w:r w:rsidR="004F2704" w:rsidRPr="007D1DFE">
        <w:rPr>
          <w:rFonts w:ascii="Times New Roman" w:eastAsia="Times New Roman" w:hAnsi="Times New Roman" w:cs="Times New Roman"/>
          <w:bCs/>
          <w:i/>
          <w:sz w:val="24"/>
          <w:szCs w:val="24"/>
          <w:lang w:eastAsia="it-IT"/>
        </w:rPr>
        <w:t xml:space="preserve"> </w:t>
      </w:r>
      <w:r w:rsidRPr="007D1DFE">
        <w:rPr>
          <w:rFonts w:ascii="Times New Roman" w:eastAsia="Times New Roman" w:hAnsi="Times New Roman" w:cs="Times New Roman"/>
          <w:bCs/>
          <w:i/>
          <w:sz w:val="24"/>
          <w:szCs w:val="24"/>
          <w:lang w:eastAsia="it-IT"/>
        </w:rPr>
        <w:t>nel settore degli appalti pubblici, è un dato sempre più frequentemente riscontrato nei</w:t>
      </w:r>
      <w:r w:rsidR="004F2704" w:rsidRPr="007D1DFE">
        <w:rPr>
          <w:rFonts w:ascii="Times New Roman" w:eastAsia="Times New Roman" w:hAnsi="Times New Roman" w:cs="Times New Roman"/>
          <w:bCs/>
          <w:i/>
          <w:sz w:val="24"/>
          <w:szCs w:val="24"/>
          <w:lang w:eastAsia="it-IT"/>
        </w:rPr>
        <w:t xml:space="preserve"> </w:t>
      </w:r>
      <w:r w:rsidRPr="007D1DFE">
        <w:rPr>
          <w:rFonts w:ascii="Times New Roman" w:eastAsia="Times New Roman" w:hAnsi="Times New Roman" w:cs="Times New Roman"/>
          <w:bCs/>
          <w:i/>
          <w:sz w:val="24"/>
          <w:szCs w:val="24"/>
          <w:lang w:eastAsia="it-IT"/>
        </w:rPr>
        <w:t>procedimenti giudiziari</w:t>
      </w:r>
      <w:r w:rsidRPr="007D1DFE">
        <w:rPr>
          <w:rFonts w:ascii="Times New Roman" w:eastAsia="Times New Roman" w:hAnsi="Times New Roman" w:cs="Times New Roman"/>
          <w:bCs/>
          <w:sz w:val="24"/>
          <w:szCs w:val="24"/>
          <w:lang w:eastAsia="it-IT"/>
        </w:rPr>
        <w:t xml:space="preserve">” </w:t>
      </w:r>
      <w:r w:rsidRPr="007D1DFE">
        <w:rPr>
          <w:rStyle w:val="Rimandonotaapidipagina"/>
          <w:rFonts w:ascii="Times New Roman" w:eastAsia="Times New Roman" w:hAnsi="Times New Roman" w:cs="Times New Roman"/>
          <w:bCs/>
          <w:sz w:val="24"/>
          <w:szCs w:val="24"/>
          <w:lang w:eastAsia="it-IT"/>
        </w:rPr>
        <w:footnoteReference w:id="14"/>
      </w:r>
      <w:r w:rsidRPr="007D1DFE">
        <w:rPr>
          <w:rFonts w:ascii="Times New Roman" w:eastAsia="Times New Roman" w:hAnsi="Times New Roman" w:cs="Times New Roman"/>
          <w:bCs/>
          <w:sz w:val="24"/>
          <w:szCs w:val="24"/>
          <w:lang w:eastAsia="it-IT"/>
        </w:rPr>
        <w:t>.</w:t>
      </w:r>
    </w:p>
    <w:p w:rsidR="00E97CD9" w:rsidRPr="007D1DFE" w:rsidRDefault="00E97CD9" w:rsidP="007D1DFE">
      <w:pPr>
        <w:spacing w:after="24" w:line="240" w:lineRule="atLeast"/>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 xml:space="preserve">Sono </w:t>
      </w:r>
      <w:r w:rsidR="004F2704" w:rsidRPr="007D1DFE">
        <w:rPr>
          <w:rFonts w:ascii="Times New Roman" w:eastAsia="Times New Roman" w:hAnsi="Times New Roman" w:cs="Times New Roman"/>
          <w:bCs/>
          <w:sz w:val="24"/>
          <w:szCs w:val="24"/>
          <w:lang w:eastAsia="it-IT"/>
        </w:rPr>
        <w:t xml:space="preserve">stati </w:t>
      </w:r>
      <w:r w:rsidRPr="007D1DFE">
        <w:rPr>
          <w:rFonts w:ascii="Times New Roman" w:eastAsia="Times New Roman" w:hAnsi="Times New Roman" w:cs="Times New Roman"/>
          <w:bCs/>
          <w:sz w:val="24"/>
          <w:szCs w:val="24"/>
          <w:lang w:eastAsia="it-IT"/>
        </w:rPr>
        <w:t xml:space="preserve">pertanto concordati obiettivi comuni e forme di collaborazione </w:t>
      </w:r>
      <w:proofErr w:type="spellStart"/>
      <w:r w:rsidRPr="007D1DFE">
        <w:rPr>
          <w:rFonts w:ascii="Times New Roman" w:eastAsia="Times New Roman" w:hAnsi="Times New Roman" w:cs="Times New Roman"/>
          <w:bCs/>
          <w:sz w:val="24"/>
          <w:szCs w:val="24"/>
          <w:lang w:eastAsia="it-IT"/>
        </w:rPr>
        <w:t>interistituzionale</w:t>
      </w:r>
      <w:proofErr w:type="spellEnd"/>
      <w:r w:rsidRPr="007D1DFE">
        <w:rPr>
          <w:rFonts w:ascii="Times New Roman" w:eastAsia="Times New Roman" w:hAnsi="Times New Roman" w:cs="Times New Roman"/>
          <w:bCs/>
          <w:sz w:val="24"/>
          <w:szCs w:val="24"/>
          <w:lang w:eastAsia="it-IT"/>
        </w:rPr>
        <w:t>, “</w:t>
      </w:r>
      <w:r w:rsidRPr="007D1DFE">
        <w:rPr>
          <w:rFonts w:ascii="Times New Roman" w:eastAsia="Times New Roman" w:hAnsi="Times New Roman" w:cs="Times New Roman"/>
          <w:bCs/>
          <w:i/>
          <w:sz w:val="24"/>
          <w:szCs w:val="24"/>
          <w:lang w:eastAsia="it-IT"/>
        </w:rPr>
        <w:t>anche attraverso l’accesso tempestivo alle informazioni acquisite in via amministrativa, allo scopo di assicurare la massima efficacia all’azione di contrasto del fenomeno della corruzione e dell’illegalità nella pubblica Amministrazione, al fine di impedire alla criminalità di occupare indebitamente spazi all’interno dei diversi settori allo scopo di lucrarne illeciti</w:t>
      </w:r>
      <w:r w:rsidR="00471609" w:rsidRPr="007D1DFE">
        <w:rPr>
          <w:rFonts w:ascii="Times New Roman" w:eastAsia="Times New Roman" w:hAnsi="Times New Roman" w:cs="Times New Roman"/>
          <w:bCs/>
          <w:sz w:val="24"/>
          <w:szCs w:val="24"/>
          <w:lang w:eastAsia="it-IT"/>
        </w:rPr>
        <w:t>”.</w:t>
      </w:r>
    </w:p>
    <w:p w:rsidR="00471609" w:rsidRPr="007D1DFE" w:rsidRDefault="00471609" w:rsidP="007D1DFE">
      <w:pPr>
        <w:spacing w:after="24" w:line="240" w:lineRule="atLeast"/>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 xml:space="preserve">In particolare, l’ANAC metterà inoltre a disposizione della DNA, con periodicità trimestrale, le comunicazioni ricevute dalle Procure relative all’esercizio dell'azione penale per i delitti contro la </w:t>
      </w:r>
      <w:r w:rsidR="00A458E0" w:rsidRPr="007D1DFE">
        <w:rPr>
          <w:rFonts w:ascii="Times New Roman" w:eastAsia="Times New Roman" w:hAnsi="Times New Roman" w:cs="Times New Roman"/>
          <w:bCs/>
          <w:sz w:val="24"/>
          <w:szCs w:val="24"/>
          <w:lang w:eastAsia="it-IT"/>
        </w:rPr>
        <w:t>PA</w:t>
      </w:r>
      <w:r w:rsidRPr="007D1DFE">
        <w:rPr>
          <w:rFonts w:ascii="Times New Roman" w:eastAsia="Times New Roman" w:hAnsi="Times New Roman" w:cs="Times New Roman"/>
          <w:bCs/>
          <w:sz w:val="24"/>
          <w:szCs w:val="24"/>
          <w:lang w:eastAsia="it-IT"/>
        </w:rPr>
        <w:t xml:space="preserve">, mentre la DNA effettuerà approfondimenti per accertare se i soggetti coinvolti essere contigui o comunque collegati ad organizzazioni mafiose. </w:t>
      </w:r>
    </w:p>
    <w:p w:rsidR="00526DFB" w:rsidRPr="007D1DFE" w:rsidRDefault="00A868EC" w:rsidP="007D1DFE">
      <w:pPr>
        <w:spacing w:after="24" w:line="240" w:lineRule="atLeast"/>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
          <w:bCs/>
          <w:sz w:val="24"/>
          <w:szCs w:val="24"/>
          <w:lang w:eastAsia="it-IT"/>
        </w:rPr>
        <w:tab/>
      </w:r>
      <w:r w:rsidR="00D12417" w:rsidRPr="007D1DFE">
        <w:rPr>
          <w:rFonts w:ascii="Times New Roman" w:eastAsia="Times New Roman" w:hAnsi="Times New Roman" w:cs="Times New Roman"/>
          <w:bCs/>
          <w:sz w:val="24"/>
          <w:szCs w:val="24"/>
          <w:lang w:eastAsia="it-IT"/>
        </w:rPr>
        <w:t xml:space="preserve">In materia, di sicuro rilievo è la deliberazione del Consiglio regionale </w:t>
      </w:r>
      <w:r w:rsidR="00526DFB" w:rsidRPr="007D1DFE">
        <w:rPr>
          <w:rFonts w:ascii="Times New Roman" w:eastAsia="Times New Roman" w:hAnsi="Times New Roman" w:cs="Times New Roman"/>
          <w:bCs/>
          <w:sz w:val="24"/>
          <w:szCs w:val="24"/>
          <w:lang w:eastAsia="it-IT"/>
        </w:rPr>
        <w:t>26 aprile 2018</w:t>
      </w:r>
      <w:r w:rsidR="00D12417" w:rsidRPr="007D1DFE">
        <w:rPr>
          <w:rFonts w:ascii="Times New Roman" w:eastAsia="Times New Roman" w:hAnsi="Times New Roman" w:cs="Times New Roman"/>
          <w:bCs/>
          <w:sz w:val="24"/>
          <w:szCs w:val="24"/>
          <w:lang w:eastAsia="it-IT"/>
        </w:rPr>
        <w:t>,</w:t>
      </w:r>
      <w:r w:rsidR="00526DFB" w:rsidRPr="007D1DFE">
        <w:rPr>
          <w:rFonts w:ascii="Times New Roman" w:eastAsia="Times New Roman" w:hAnsi="Times New Roman" w:cs="Times New Roman"/>
          <w:bCs/>
          <w:sz w:val="24"/>
          <w:szCs w:val="24"/>
          <w:lang w:eastAsia="it-IT"/>
        </w:rPr>
        <w:t xml:space="preserve"> n. 6 </w:t>
      </w:r>
      <w:r w:rsidR="00D12417" w:rsidRPr="007D1DFE">
        <w:rPr>
          <w:rFonts w:ascii="Times New Roman" w:eastAsia="Times New Roman" w:hAnsi="Times New Roman" w:cs="Times New Roman"/>
          <w:bCs/>
          <w:sz w:val="24"/>
          <w:szCs w:val="24"/>
          <w:lang w:eastAsia="it-IT"/>
        </w:rPr>
        <w:t>che, nel modificare</w:t>
      </w:r>
      <w:r w:rsidR="00526DFB" w:rsidRPr="007D1DFE">
        <w:rPr>
          <w:rFonts w:ascii="Times New Roman" w:eastAsia="Times New Roman" w:hAnsi="Times New Roman" w:cs="Times New Roman"/>
          <w:bCs/>
          <w:sz w:val="24"/>
          <w:szCs w:val="24"/>
          <w:lang w:eastAsia="it-IT"/>
        </w:rPr>
        <w:t xml:space="preserve"> gli articoli 14 e 14 ter del </w:t>
      </w:r>
      <w:r w:rsidR="00D12417" w:rsidRPr="007D1DFE">
        <w:rPr>
          <w:rFonts w:ascii="Times New Roman" w:eastAsia="Times New Roman" w:hAnsi="Times New Roman" w:cs="Times New Roman"/>
          <w:bCs/>
          <w:sz w:val="24"/>
          <w:szCs w:val="24"/>
          <w:lang w:eastAsia="it-IT"/>
        </w:rPr>
        <w:t xml:space="preserve">proprio Regolamento dei Lavori, ha attribuito </w:t>
      </w:r>
      <w:r w:rsidR="00526DFB" w:rsidRPr="007D1DFE">
        <w:rPr>
          <w:rFonts w:ascii="Times New Roman" w:eastAsia="Times New Roman" w:hAnsi="Times New Roman" w:cs="Times New Roman"/>
          <w:bCs/>
          <w:sz w:val="24"/>
          <w:szCs w:val="24"/>
          <w:lang w:eastAsia="it-IT"/>
        </w:rPr>
        <w:t xml:space="preserve">alla prima </w:t>
      </w:r>
      <w:r w:rsidR="00D12417" w:rsidRPr="007D1DFE">
        <w:rPr>
          <w:rFonts w:ascii="Times New Roman" w:eastAsia="Times New Roman" w:hAnsi="Times New Roman" w:cs="Times New Roman"/>
          <w:bCs/>
          <w:sz w:val="24"/>
          <w:szCs w:val="24"/>
          <w:lang w:eastAsia="it-IT"/>
        </w:rPr>
        <w:t>Commissione consiliare permanente anche la competenza in tema</w:t>
      </w:r>
      <w:r w:rsidR="000B0C82" w:rsidRPr="007D1DFE">
        <w:rPr>
          <w:rFonts w:ascii="Times New Roman" w:eastAsia="Times New Roman" w:hAnsi="Times New Roman" w:cs="Times New Roman"/>
          <w:bCs/>
          <w:sz w:val="24"/>
          <w:szCs w:val="24"/>
          <w:lang w:eastAsia="it-IT"/>
        </w:rPr>
        <w:t xml:space="preserve"> di </w:t>
      </w:r>
      <w:r w:rsidR="00D12417" w:rsidRPr="007D1DFE">
        <w:rPr>
          <w:rFonts w:ascii="Times New Roman" w:eastAsia="Times New Roman" w:hAnsi="Times New Roman" w:cs="Times New Roman"/>
          <w:bCs/>
          <w:sz w:val="24"/>
          <w:szCs w:val="24"/>
          <w:lang w:eastAsia="it-IT"/>
        </w:rPr>
        <w:t xml:space="preserve">sicurezza, </w:t>
      </w:r>
      <w:r w:rsidR="000B0C82" w:rsidRPr="007D1DFE">
        <w:rPr>
          <w:rFonts w:ascii="Times New Roman" w:eastAsia="Times New Roman" w:hAnsi="Times New Roman" w:cs="Times New Roman"/>
          <w:bCs/>
          <w:sz w:val="24"/>
          <w:szCs w:val="24"/>
          <w:lang w:eastAsia="it-IT"/>
        </w:rPr>
        <w:t>lotta alla criminalità e antimafia.</w:t>
      </w:r>
    </w:p>
    <w:p w:rsidR="009903C3" w:rsidRPr="007D1DFE" w:rsidRDefault="009903C3" w:rsidP="007D1DFE">
      <w:pPr>
        <w:spacing w:after="24" w:line="240" w:lineRule="atLeast"/>
        <w:jc w:val="both"/>
        <w:rPr>
          <w:rFonts w:ascii="Times New Roman" w:eastAsia="Times New Roman" w:hAnsi="Times New Roman" w:cs="Times New Roman"/>
          <w:bCs/>
          <w:sz w:val="24"/>
          <w:szCs w:val="24"/>
          <w:lang w:eastAsia="it-IT"/>
        </w:rPr>
      </w:pPr>
    </w:p>
    <w:p w:rsidR="000B0C82" w:rsidRPr="007D1DFE" w:rsidRDefault="000B0C82" w:rsidP="007D1DFE">
      <w:pPr>
        <w:spacing w:after="24" w:line="240" w:lineRule="atLeast"/>
        <w:jc w:val="both"/>
        <w:rPr>
          <w:rFonts w:ascii="Times New Roman" w:eastAsia="Times New Roman" w:hAnsi="Times New Roman" w:cs="Times New Roman"/>
          <w:b/>
          <w:bCs/>
          <w:sz w:val="24"/>
          <w:szCs w:val="24"/>
          <w:lang w:eastAsia="it-IT"/>
        </w:rPr>
      </w:pPr>
    </w:p>
    <w:p w:rsidR="009903C3" w:rsidRPr="007D1DFE" w:rsidRDefault="009903C3" w:rsidP="007D1DFE">
      <w:pPr>
        <w:spacing w:after="24" w:line="240" w:lineRule="atLeast"/>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 xml:space="preserve">1.4. Il contesto organizzativo del Consiglio regionale. </w:t>
      </w:r>
    </w:p>
    <w:p w:rsidR="009903C3" w:rsidRPr="007D1DFE" w:rsidRDefault="009903C3" w:rsidP="007D1DFE">
      <w:pPr>
        <w:spacing w:after="24" w:line="240" w:lineRule="atLeast"/>
        <w:jc w:val="center"/>
        <w:rPr>
          <w:rFonts w:ascii="Times New Roman" w:eastAsia="Times New Roman" w:hAnsi="Times New Roman" w:cs="Times New Roman"/>
          <w:bCs/>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L’art. 51 dello Statuto della Regione detta dei principi basilari cui deve ispirarsi l’attività amministrativa regionale, che deve conformarsi “</w:t>
      </w:r>
      <w:r w:rsidRPr="007D1DFE">
        <w:rPr>
          <w:rFonts w:ascii="Times New Roman" w:eastAsia="Times New Roman" w:hAnsi="Times New Roman" w:cs="Times New Roman"/>
          <w:i/>
          <w:sz w:val="24"/>
          <w:szCs w:val="24"/>
          <w:lang w:eastAsia="it-IT"/>
        </w:rPr>
        <w:t>ai principi di legalità, imparzialità, buon andamento, trasparenza, efficacia ed efficienza</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 tal fine, lo stesso articolo demanda alle leggi ed ai regolamenti regionali il compito di garantire “</w:t>
      </w:r>
      <w:r w:rsidRPr="007D1DFE">
        <w:rPr>
          <w:rFonts w:ascii="Times New Roman" w:eastAsia="Times New Roman" w:hAnsi="Times New Roman" w:cs="Times New Roman"/>
          <w:i/>
          <w:sz w:val="24"/>
          <w:szCs w:val="24"/>
          <w:lang w:eastAsia="it-IT"/>
        </w:rPr>
        <w:t>la semplificazione e lo snellimento dei procedimenti amministrativi …..la loro conclusione entro termini certi mediante provvedimenti espressi e motivati … l’accesso ai documenti amministrativi e la relativa pubblicità</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quarto ed ultimo comma, poi, rifacendosi al noto principio esplicitato nella legge 241 del 1990, stabilisce che “</w:t>
      </w:r>
      <w:r w:rsidRPr="007D1DFE">
        <w:rPr>
          <w:rFonts w:ascii="Times New Roman" w:eastAsia="Times New Roman" w:hAnsi="Times New Roman" w:cs="Times New Roman"/>
          <w:i/>
          <w:sz w:val="24"/>
          <w:szCs w:val="24"/>
          <w:lang w:eastAsia="it-IT"/>
        </w:rPr>
        <w:t>la concessione di sovvenzioni, contributi, sussidi, ausili finanziari o vantaggi economici a persone ed enti pubblici, compresi gli enti locali, è subordinata alla predeterminazione dei criteri generali e all’adeguata informazione dei potenziali interessati</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Per quanto concerne specifica</w:t>
      </w:r>
      <w:r w:rsidR="002E58FB" w:rsidRPr="007D1DFE">
        <w:rPr>
          <w:rFonts w:ascii="Times New Roman" w:eastAsia="Times New Roman" w:hAnsi="Times New Roman" w:cs="Times New Roman"/>
          <w:sz w:val="24"/>
          <w:szCs w:val="24"/>
          <w:lang w:eastAsia="it-IT"/>
        </w:rPr>
        <w:t>ta</w:t>
      </w:r>
      <w:r w:rsidRPr="007D1DFE">
        <w:rPr>
          <w:rFonts w:ascii="Times New Roman" w:eastAsia="Times New Roman" w:hAnsi="Times New Roman" w:cs="Times New Roman"/>
          <w:sz w:val="24"/>
          <w:szCs w:val="24"/>
          <w:lang w:eastAsia="it-IT"/>
        </w:rPr>
        <w:t>mente l’organizzazione interna, sempre lo Statuto (art. 53) demanda la sua disciplina, nel ris</w:t>
      </w:r>
      <w:r w:rsidR="002E58FB" w:rsidRPr="007D1DFE">
        <w:rPr>
          <w:rFonts w:ascii="Times New Roman" w:eastAsia="Times New Roman" w:hAnsi="Times New Roman" w:cs="Times New Roman"/>
          <w:sz w:val="24"/>
          <w:szCs w:val="24"/>
          <w:lang w:eastAsia="it-IT"/>
        </w:rPr>
        <w:t xml:space="preserve">petto di norme generali dettate, allo stato, </w:t>
      </w:r>
      <w:r w:rsidRPr="007D1DFE">
        <w:rPr>
          <w:rFonts w:ascii="Times New Roman" w:eastAsia="Times New Roman" w:hAnsi="Times New Roman" w:cs="Times New Roman"/>
          <w:sz w:val="24"/>
          <w:szCs w:val="24"/>
          <w:lang w:eastAsia="it-IT"/>
        </w:rPr>
        <w:t>dalla legge regionale</w:t>
      </w:r>
      <w:r w:rsidR="002E58FB" w:rsidRPr="007D1DFE">
        <w:rPr>
          <w:rFonts w:ascii="Times New Roman" w:eastAsia="Times New Roman" w:hAnsi="Times New Roman" w:cs="Times New Roman"/>
          <w:sz w:val="24"/>
          <w:szCs w:val="24"/>
          <w:lang w:eastAsia="it-IT"/>
        </w:rPr>
        <w:t xml:space="preserve"> 18 febbraio 2002, n. 6 e ss.mm. (Disciplina del sistema organizzativo della Giunta e del Consiglio e disposizioni relative alla dirigenza ed al personale regionale.)</w:t>
      </w:r>
      <w:r w:rsidRPr="007D1DFE">
        <w:rPr>
          <w:rFonts w:ascii="Times New Roman" w:eastAsia="Times New Roman" w:hAnsi="Times New Roman" w:cs="Times New Roman"/>
          <w:sz w:val="24"/>
          <w:szCs w:val="24"/>
          <w:lang w:eastAsia="it-IT"/>
        </w:rPr>
        <w:t xml:space="preserve"> ai rispettivi regolamenti di organizzazione della Giunta e dell’Ufficio di presidenza del Consiglio regionale, in considerazione degli ampi spazi di autonomia riconosciuti all’Organo assembleare regionale </w:t>
      </w:r>
      <w:r w:rsidRPr="007D1DFE">
        <w:rPr>
          <w:rFonts w:ascii="Times New Roman" w:eastAsia="Times New Roman" w:hAnsi="Times New Roman" w:cs="Times New Roman"/>
          <w:sz w:val="24"/>
          <w:szCs w:val="24"/>
          <w:vertAlign w:val="superscript"/>
          <w:lang w:eastAsia="it-IT"/>
        </w:rPr>
        <w:footnoteReference w:id="15"/>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9"/>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Tali ambiti di autonomia sono riconosciuti in funzione del ruolo di attore della funzione legislativa, che presuppone un’organizzazione interna dedita primariamente a sostenere l’esercizio della funzione medesima da parte dei consiglieri regionali. Ciò trova un esplicito riferimento nel principio contenuto nella </w:t>
      </w:r>
      <w:proofErr w:type="spellStart"/>
      <w:r w:rsidRPr="007D1DFE">
        <w:rPr>
          <w:rFonts w:ascii="Times New Roman" w:eastAsia="Times New Roman" w:hAnsi="Times New Roman" w:cs="Times New Roman"/>
          <w:sz w:val="24"/>
          <w:szCs w:val="24"/>
          <w:lang w:eastAsia="it-IT"/>
        </w:rPr>
        <w:t>l</w:t>
      </w:r>
      <w:r w:rsidR="002E58FB" w:rsidRPr="007D1DFE">
        <w:rPr>
          <w:rFonts w:ascii="Times New Roman" w:eastAsia="Times New Roman" w:hAnsi="Times New Roman" w:cs="Times New Roman"/>
          <w:sz w:val="24"/>
          <w:szCs w:val="24"/>
          <w:lang w:eastAsia="it-IT"/>
        </w:rPr>
        <w:t>.r</w:t>
      </w:r>
      <w:proofErr w:type="spellEnd"/>
      <w:r w:rsidR="002E58FB"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w:t>
      </w:r>
      <w:r w:rsidR="002E58FB" w:rsidRPr="007D1DFE">
        <w:rPr>
          <w:rFonts w:ascii="Times New Roman" w:eastAsia="Times New Roman" w:hAnsi="Times New Roman" w:cs="Times New Roman"/>
          <w:sz w:val="24"/>
          <w:szCs w:val="24"/>
          <w:lang w:eastAsia="it-IT"/>
        </w:rPr>
        <w:t>6/</w:t>
      </w:r>
      <w:r w:rsidRPr="007D1DFE">
        <w:rPr>
          <w:rFonts w:ascii="Times New Roman" w:eastAsia="Times New Roman" w:hAnsi="Times New Roman" w:cs="Times New Roman"/>
          <w:sz w:val="24"/>
          <w:szCs w:val="24"/>
          <w:lang w:eastAsia="it-IT"/>
        </w:rPr>
        <w:t xml:space="preserve"> 2002</w:t>
      </w:r>
      <w:r w:rsidR="002E58FB"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a carattere organico, laddove all’art. 31 stabilisce che “</w:t>
      </w:r>
      <w:r w:rsidRPr="007D1DFE">
        <w:rPr>
          <w:rFonts w:ascii="Times New Roman" w:eastAsia="Times New Roman" w:hAnsi="Times New Roman" w:cs="Times New Roman"/>
          <w:i/>
          <w:sz w:val="24"/>
          <w:szCs w:val="24"/>
          <w:lang w:eastAsia="it-IT"/>
        </w:rPr>
        <w:t>il sistema organizzativo del Consiglio si ispira a modelli organizzativi delle assemblee parlamentari</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Oltre ai servizi chiamati a fornire attività di assistenza all’Assemblea legislativa, alle commissioni, ai consiglieri e, in una certa misura</w:t>
      </w:r>
      <w:r w:rsidR="002E58FB"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anche ai componenti della Giunta in occasione delle sedute dell’Aula e delle commissioni, operano presso il Consiglio regionale anche strutture deputate allo svolgimento dell’attività amministrativa in quanto tale.</w:t>
      </w:r>
    </w:p>
    <w:p w:rsidR="009903C3" w:rsidRPr="007D1DFE" w:rsidRDefault="009903C3" w:rsidP="007D1DFE">
      <w:pPr>
        <w:spacing w:line="240" w:lineRule="auto"/>
        <w:ind w:firstLine="708"/>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sz w:val="24"/>
          <w:szCs w:val="24"/>
          <w:lang w:eastAsia="it-IT"/>
        </w:rPr>
        <w:t xml:space="preserve">Inoltre, parimenti a quanto avviene nelle altre Regioni, sono stati istituiti presso il Consiglio </w:t>
      </w:r>
      <w:r w:rsidR="002E58FB" w:rsidRPr="007D1DFE">
        <w:rPr>
          <w:rFonts w:ascii="Times New Roman" w:eastAsia="Times New Roman" w:hAnsi="Times New Roman" w:cs="Times New Roman"/>
          <w:sz w:val="24"/>
          <w:szCs w:val="24"/>
          <w:lang w:eastAsia="it-IT"/>
        </w:rPr>
        <w:t xml:space="preserve">regionale </w:t>
      </w:r>
      <w:r w:rsidRPr="007D1DFE">
        <w:rPr>
          <w:rFonts w:ascii="Times New Roman" w:eastAsia="Times New Roman" w:hAnsi="Times New Roman" w:cs="Times New Roman"/>
          <w:sz w:val="24"/>
          <w:szCs w:val="24"/>
          <w:lang w:eastAsia="it-IT"/>
        </w:rPr>
        <w:t>anche alcuni organismi dotati a vario titolo, ed in forme certamente differenziate, di livelli di autonomia in relazione alle specifiche finalità istituzionali che devono ispirarne l’attività e che costituiscono la ragione del loro essere: il Consiglio delle autonomie locali, il Difensore civico, il Garante delle persone sottoposte a misure restrittive della libertà personale, il Garante dell’infanzia e dell’adolescenza, il Comitato r</w:t>
      </w:r>
      <w:r w:rsidRPr="007D1DFE">
        <w:rPr>
          <w:rFonts w:ascii="Times New Roman" w:eastAsia="Times New Roman" w:hAnsi="Times New Roman" w:cs="Times New Roman"/>
          <w:bCs/>
          <w:sz w:val="24"/>
          <w:szCs w:val="24"/>
          <w:lang w:eastAsia="it-IT"/>
        </w:rPr>
        <w:t xml:space="preserve">egionale per le comunicazioni (CO.RE.COM) e il Comitato regionale di controllo contabile.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Cs/>
          <w:sz w:val="24"/>
          <w:szCs w:val="24"/>
          <w:lang w:eastAsia="it-IT"/>
        </w:rPr>
        <w:t xml:space="preserve">Tra tali organismi ve ne sono diversi che svolgono attività di servizio pubblico o comunque in favore di cittadini e dell’utenza esterna, in particolare: </w:t>
      </w:r>
      <w:r w:rsidRPr="007D1DFE">
        <w:rPr>
          <w:rFonts w:ascii="Times New Roman" w:eastAsia="Times New Roman" w:hAnsi="Times New Roman" w:cs="Times New Roman"/>
          <w:sz w:val="24"/>
          <w:szCs w:val="24"/>
          <w:lang w:eastAsia="it-IT"/>
        </w:rPr>
        <w:t>il Difensore civico, il Garante delle persone sottoposte a misure restrittive della libertà personale, il Garante dell’Infanzia e dell’adolescenza e il CO.RE.COM.</w:t>
      </w:r>
      <w:r w:rsidR="005C79C4"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Al Consiglio regionale è poi demandata l'approvazione del bilancio preventivo,</w:t>
      </w:r>
      <w:r w:rsidR="002030D8" w:rsidRPr="007D1DFE">
        <w:rPr>
          <w:rFonts w:ascii="Times New Roman" w:eastAsia="Times New Roman" w:hAnsi="Times New Roman" w:cs="Times New Roman"/>
          <w:sz w:val="24"/>
          <w:szCs w:val="24"/>
          <w:lang w:eastAsia="it-IT"/>
        </w:rPr>
        <w:t xml:space="preserve"> del rendiconto generale nonché</w:t>
      </w:r>
      <w:r w:rsidRPr="007D1DFE">
        <w:rPr>
          <w:rFonts w:ascii="Times New Roman" w:eastAsia="Times New Roman" w:hAnsi="Times New Roman" w:cs="Times New Roman"/>
          <w:sz w:val="24"/>
          <w:szCs w:val="24"/>
          <w:lang w:eastAsia="it-IT"/>
        </w:rPr>
        <w:t xml:space="preserve"> dei programmi di attivit</w:t>
      </w:r>
      <w:r w:rsidR="009D736A" w:rsidRPr="007D1DFE">
        <w:rPr>
          <w:rFonts w:ascii="Times New Roman" w:eastAsia="Times New Roman" w:hAnsi="Times New Roman" w:cs="Times New Roman"/>
          <w:sz w:val="24"/>
          <w:szCs w:val="24"/>
          <w:lang w:eastAsia="it-IT"/>
        </w:rPr>
        <w:t>à</w:t>
      </w:r>
      <w:r w:rsidRPr="007D1DFE">
        <w:rPr>
          <w:rFonts w:ascii="Times New Roman" w:eastAsia="Times New Roman" w:hAnsi="Times New Roman" w:cs="Times New Roman"/>
          <w:sz w:val="24"/>
          <w:szCs w:val="24"/>
          <w:lang w:eastAsia="it-IT"/>
        </w:rPr>
        <w:t xml:space="preserve"> dell'Istituto Regionale di Studi Giuridici del Lazio “Arturo Carlo </w:t>
      </w:r>
      <w:proofErr w:type="spellStart"/>
      <w:r w:rsidRPr="007D1DFE">
        <w:rPr>
          <w:rFonts w:ascii="Times New Roman" w:eastAsia="Times New Roman" w:hAnsi="Times New Roman" w:cs="Times New Roman"/>
          <w:sz w:val="24"/>
          <w:szCs w:val="24"/>
          <w:lang w:eastAsia="it-IT"/>
        </w:rPr>
        <w:t>Jemolo</w:t>
      </w:r>
      <w:proofErr w:type="spellEnd"/>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vertAlign w:val="superscript"/>
          <w:lang w:eastAsia="it-IT"/>
        </w:rPr>
        <w:footnoteReference w:id="16"/>
      </w:r>
      <w:r w:rsidRPr="007D1DFE">
        <w:rPr>
          <w:rFonts w:ascii="Times New Roman" w:eastAsia="Times New Roman" w:hAnsi="Times New Roman" w:cs="Times New Roman"/>
          <w:sz w:val="24"/>
          <w:szCs w:val="24"/>
          <w:lang w:eastAsia="it-IT"/>
        </w:rPr>
        <w:t>, che ha come finalità istituzionale primaria “</w:t>
      </w:r>
      <w:r w:rsidRPr="007D1DFE">
        <w:rPr>
          <w:rFonts w:ascii="Times New Roman" w:eastAsia="Times New Roman" w:hAnsi="Times New Roman" w:cs="Times New Roman"/>
          <w:i/>
          <w:sz w:val="24"/>
          <w:szCs w:val="24"/>
          <w:lang w:eastAsia="it-IT"/>
        </w:rPr>
        <w:t>la formazione e l'aggiornamento dei cittadini residenti nel Lazio interessati alle carriere giudiziarie e forensi</w:t>
      </w:r>
      <w:r w:rsidRPr="007D1DFE">
        <w:rPr>
          <w:rFonts w:ascii="Times New Roman" w:eastAsia="Times New Roman" w:hAnsi="Times New Roman" w:cs="Times New Roman"/>
          <w:sz w:val="24"/>
          <w:szCs w:val="24"/>
          <w:lang w:eastAsia="it-IT"/>
        </w:rPr>
        <w:t xml:space="preserve">”. </w:t>
      </w:r>
    </w:p>
    <w:p w:rsidR="00087E89" w:rsidRPr="007D1DFE" w:rsidRDefault="00DE1C9C"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Regolamento di organizzazione del Consiglio regionale (di seguito Regolamento), approvato con deliberazione dell’Ufficio di presidenza 29 gennaio 2003, n. 3, detta</w:t>
      </w:r>
      <w:r w:rsidR="002030D8"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 xml:space="preserve">la disciplina delle strutture e attività del Consiglio. </w:t>
      </w:r>
      <w:r w:rsidR="00F2569F" w:rsidRPr="007D1DFE">
        <w:rPr>
          <w:rFonts w:ascii="Times New Roman" w:eastAsia="Times New Roman" w:hAnsi="Times New Roman" w:cs="Times New Roman"/>
          <w:sz w:val="24"/>
          <w:szCs w:val="24"/>
          <w:lang w:eastAsia="it-IT"/>
        </w:rPr>
        <w:t>Nel secondo semestre</w:t>
      </w:r>
      <w:r w:rsidR="00884EA2" w:rsidRPr="007D1DFE">
        <w:rPr>
          <w:rFonts w:ascii="Times New Roman" w:eastAsia="Times New Roman" w:hAnsi="Times New Roman" w:cs="Times New Roman"/>
          <w:sz w:val="24"/>
          <w:szCs w:val="24"/>
          <w:lang w:eastAsia="it-IT"/>
        </w:rPr>
        <w:t xml:space="preserve"> del 2018, si è </w:t>
      </w:r>
      <w:r w:rsidR="002030D8" w:rsidRPr="007D1DFE">
        <w:rPr>
          <w:rFonts w:ascii="Times New Roman" w:eastAsia="Times New Roman" w:hAnsi="Times New Roman" w:cs="Times New Roman"/>
          <w:sz w:val="24"/>
          <w:szCs w:val="24"/>
          <w:lang w:eastAsia="it-IT"/>
        </w:rPr>
        <w:t>provveduto ad una sostanziale ridefinizione dell’architettura organizzativa del Consiglio regionale</w:t>
      </w:r>
      <w:r w:rsidR="00FF0DAF" w:rsidRPr="007D1DFE">
        <w:rPr>
          <w:rFonts w:ascii="Times New Roman" w:eastAsia="Times New Roman" w:hAnsi="Times New Roman" w:cs="Times New Roman"/>
          <w:sz w:val="24"/>
          <w:szCs w:val="24"/>
          <w:lang w:eastAsia="it-IT"/>
        </w:rPr>
        <w:t>,</w:t>
      </w:r>
      <w:r w:rsidR="002030D8" w:rsidRPr="007D1DFE">
        <w:rPr>
          <w:rFonts w:ascii="Times New Roman" w:eastAsia="Times New Roman" w:hAnsi="Times New Roman" w:cs="Times New Roman"/>
          <w:sz w:val="24"/>
          <w:szCs w:val="24"/>
          <w:lang w:eastAsia="it-IT"/>
        </w:rPr>
        <w:t xml:space="preserve"> attraverso una modifica al Regolamento (deliberazione dell’Ufficio di presidenza 4 ottobre 2018, n. 172) </w:t>
      </w:r>
      <w:r w:rsidR="00FF0DAF" w:rsidRPr="007D1DFE">
        <w:rPr>
          <w:rFonts w:ascii="Times New Roman" w:eastAsia="Times New Roman" w:hAnsi="Times New Roman" w:cs="Times New Roman"/>
          <w:sz w:val="24"/>
          <w:szCs w:val="24"/>
          <w:lang w:eastAsia="it-IT"/>
        </w:rPr>
        <w:t xml:space="preserve">che, nel definire le strutture apicali diverse dalla </w:t>
      </w:r>
      <w:r w:rsidR="00087E89" w:rsidRPr="007D1DFE">
        <w:rPr>
          <w:rFonts w:ascii="Times New Roman" w:eastAsia="Times New Roman" w:hAnsi="Times New Roman" w:cs="Times New Roman"/>
          <w:sz w:val="24"/>
          <w:szCs w:val="24"/>
          <w:lang w:eastAsia="it-IT"/>
        </w:rPr>
        <w:t>Segreteria generale</w:t>
      </w:r>
      <w:r w:rsidR="00E04456" w:rsidRPr="007D1DFE">
        <w:rPr>
          <w:rFonts w:ascii="Times New Roman" w:eastAsia="Times New Roman" w:hAnsi="Times New Roman" w:cs="Times New Roman"/>
          <w:sz w:val="24"/>
          <w:szCs w:val="24"/>
          <w:lang w:eastAsia="it-IT"/>
        </w:rPr>
        <w:t xml:space="preserve"> (struttura organizzativa di natura dipartimentale</w:t>
      </w:r>
      <w:r w:rsidR="00FF0DAF" w:rsidRPr="007D1DFE">
        <w:rPr>
          <w:rFonts w:ascii="Times New Roman" w:eastAsia="Times New Roman" w:hAnsi="Times New Roman" w:cs="Times New Roman"/>
          <w:sz w:val="24"/>
          <w:szCs w:val="24"/>
          <w:lang w:eastAsia="it-IT"/>
        </w:rPr>
        <w:t xml:space="preserve"> istituita dalla </w:t>
      </w:r>
      <w:proofErr w:type="spellStart"/>
      <w:r w:rsidR="00FF0DAF" w:rsidRPr="007D1DFE">
        <w:rPr>
          <w:rFonts w:ascii="Times New Roman" w:eastAsia="Times New Roman" w:hAnsi="Times New Roman" w:cs="Times New Roman"/>
          <w:sz w:val="24"/>
          <w:szCs w:val="24"/>
          <w:lang w:eastAsia="it-IT"/>
        </w:rPr>
        <w:t>l.r</w:t>
      </w:r>
      <w:proofErr w:type="spellEnd"/>
      <w:r w:rsidR="00FF0DAF" w:rsidRPr="007D1DFE">
        <w:rPr>
          <w:rFonts w:ascii="Times New Roman" w:eastAsia="Times New Roman" w:hAnsi="Times New Roman" w:cs="Times New Roman"/>
          <w:sz w:val="24"/>
          <w:szCs w:val="24"/>
          <w:lang w:eastAsia="it-IT"/>
        </w:rPr>
        <w:t>. 6/2002), prevede</w:t>
      </w:r>
      <w:r w:rsidR="00E04456" w:rsidRPr="007D1DFE">
        <w:rPr>
          <w:rFonts w:ascii="Times New Roman" w:eastAsia="Times New Roman" w:hAnsi="Times New Roman" w:cs="Times New Roman"/>
          <w:sz w:val="24"/>
          <w:szCs w:val="24"/>
          <w:lang w:eastAsia="it-IT"/>
        </w:rPr>
        <w:t xml:space="preserve"> </w:t>
      </w:r>
      <w:r w:rsidR="005C79C4" w:rsidRPr="007D1DFE">
        <w:rPr>
          <w:rFonts w:ascii="Times New Roman" w:eastAsia="Times New Roman" w:hAnsi="Times New Roman" w:cs="Times New Roman"/>
          <w:sz w:val="24"/>
          <w:szCs w:val="24"/>
          <w:lang w:eastAsia="it-IT"/>
        </w:rPr>
        <w:t>quattro</w:t>
      </w:r>
      <w:r w:rsidR="00087E89" w:rsidRPr="007D1DFE">
        <w:rPr>
          <w:rFonts w:ascii="Times New Roman" w:eastAsia="Times New Roman" w:hAnsi="Times New Roman" w:cs="Times New Roman"/>
          <w:sz w:val="24"/>
          <w:szCs w:val="24"/>
          <w:lang w:eastAsia="it-IT"/>
        </w:rPr>
        <w:t xml:space="preserve"> </w:t>
      </w:r>
      <w:r w:rsidR="005C79C4" w:rsidRPr="007D1DFE">
        <w:rPr>
          <w:rFonts w:ascii="Times New Roman" w:eastAsia="Times New Roman" w:hAnsi="Times New Roman" w:cs="Times New Roman"/>
          <w:sz w:val="24"/>
          <w:szCs w:val="24"/>
          <w:lang w:eastAsia="it-IT"/>
        </w:rPr>
        <w:t>S</w:t>
      </w:r>
      <w:r w:rsidR="00087E89" w:rsidRPr="007D1DFE">
        <w:rPr>
          <w:rFonts w:ascii="Times New Roman" w:eastAsia="Times New Roman" w:hAnsi="Times New Roman" w:cs="Times New Roman"/>
          <w:sz w:val="24"/>
          <w:szCs w:val="24"/>
          <w:lang w:eastAsia="it-IT"/>
        </w:rPr>
        <w:t>ervizi di cui uno, denominato “Prevenzione della corruzione, Trasparenza”</w:t>
      </w:r>
      <w:r w:rsidR="00FF0DAF" w:rsidRPr="007D1DFE">
        <w:rPr>
          <w:rFonts w:ascii="Times New Roman" w:eastAsia="Times New Roman" w:hAnsi="Times New Roman" w:cs="Times New Roman"/>
          <w:sz w:val="24"/>
          <w:szCs w:val="24"/>
          <w:lang w:eastAsia="it-IT"/>
        </w:rPr>
        <w:t xml:space="preserve">, ha nella cura  degli adempimenti stabiliti dalla normativa vigente in materia di corruzione e trasparenza e, in particolare, quelli di cui alla legge 190/2012, la propria </w:t>
      </w:r>
      <w:r w:rsidR="00AC7236" w:rsidRPr="007D1DFE">
        <w:rPr>
          <w:rFonts w:ascii="Times New Roman" w:eastAsia="Times New Roman" w:hAnsi="Times New Roman" w:cs="Times New Roman"/>
          <w:sz w:val="24"/>
          <w:szCs w:val="24"/>
          <w:lang w:eastAsia="it-IT"/>
        </w:rPr>
        <w:t xml:space="preserve">funzione </w:t>
      </w:r>
      <w:r w:rsidR="00FF0DAF" w:rsidRPr="007D1DFE">
        <w:rPr>
          <w:rFonts w:ascii="Times New Roman" w:eastAsia="Times New Roman" w:hAnsi="Times New Roman" w:cs="Times New Roman"/>
          <w:sz w:val="24"/>
          <w:szCs w:val="24"/>
          <w:lang w:eastAsia="it-IT"/>
        </w:rPr>
        <w:t>primaria</w:t>
      </w:r>
      <w:r w:rsidR="00E04456" w:rsidRPr="007D1DFE">
        <w:rPr>
          <w:rFonts w:ascii="Times New Roman" w:eastAsia="Times New Roman" w:hAnsi="Times New Roman" w:cs="Times New Roman"/>
          <w:sz w:val="24"/>
          <w:szCs w:val="24"/>
          <w:lang w:eastAsia="it-IT"/>
        </w:rPr>
        <w:t>.</w:t>
      </w:r>
    </w:p>
    <w:p w:rsidR="00AC7236" w:rsidRPr="007D1DFE" w:rsidRDefault="00AC7236"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Alla medesima struttura compete, altresì, di sovrintendere alla gestione e al trattamento dei dati perso</w:t>
      </w:r>
      <w:r w:rsidR="00DE1C9C" w:rsidRPr="007D1DFE">
        <w:rPr>
          <w:rFonts w:ascii="Times New Roman" w:eastAsia="Times New Roman" w:hAnsi="Times New Roman" w:cs="Times New Roman"/>
          <w:sz w:val="24"/>
          <w:szCs w:val="24"/>
          <w:lang w:eastAsia="it-IT"/>
        </w:rPr>
        <w:t>nali e alla tutela della privac</w:t>
      </w:r>
      <w:r w:rsidRPr="007D1DFE">
        <w:rPr>
          <w:rFonts w:ascii="Times New Roman" w:eastAsia="Times New Roman" w:hAnsi="Times New Roman" w:cs="Times New Roman"/>
          <w:sz w:val="24"/>
          <w:szCs w:val="24"/>
          <w:lang w:eastAsia="it-IT"/>
        </w:rPr>
        <w:t>y</w:t>
      </w:r>
      <w:r w:rsidR="00E04456" w:rsidRPr="007D1DFE">
        <w:rPr>
          <w:rFonts w:ascii="Times New Roman" w:eastAsia="Times New Roman" w:hAnsi="Times New Roman" w:cs="Times New Roman"/>
          <w:sz w:val="24"/>
          <w:szCs w:val="24"/>
          <w:lang w:eastAsia="it-IT"/>
        </w:rPr>
        <w:t>.</w:t>
      </w:r>
    </w:p>
    <w:p w:rsidR="000835A2" w:rsidRPr="007D1DFE" w:rsidRDefault="00087E89"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Tale scelta organizzativa appare in linea con una visione della trasparenza </w:t>
      </w:r>
      <w:r w:rsidR="00E04456" w:rsidRPr="007D1DFE">
        <w:rPr>
          <w:rFonts w:ascii="Times New Roman" w:eastAsia="Times New Roman" w:hAnsi="Times New Roman" w:cs="Times New Roman"/>
          <w:sz w:val="24"/>
          <w:szCs w:val="24"/>
          <w:lang w:eastAsia="it-IT"/>
        </w:rPr>
        <w:t xml:space="preserve">intesa quale  sostanziale </w:t>
      </w:r>
      <w:r w:rsidRPr="007D1DFE">
        <w:rPr>
          <w:rFonts w:ascii="Times New Roman" w:eastAsia="Times New Roman" w:hAnsi="Times New Roman" w:cs="Times New Roman"/>
          <w:sz w:val="24"/>
          <w:szCs w:val="24"/>
          <w:lang w:eastAsia="it-IT"/>
        </w:rPr>
        <w:t>misura</w:t>
      </w:r>
      <w:r w:rsidR="00A868EC" w:rsidRPr="007D1DFE">
        <w:rPr>
          <w:rFonts w:ascii="Times New Roman" w:eastAsia="Times New Roman" w:hAnsi="Times New Roman" w:cs="Times New Roman"/>
          <w:sz w:val="24"/>
          <w:szCs w:val="24"/>
          <w:lang w:eastAsia="it-IT"/>
        </w:rPr>
        <w:t xml:space="preserve"> </w:t>
      </w:r>
      <w:r w:rsidR="00E04456" w:rsidRPr="007D1DFE">
        <w:rPr>
          <w:rFonts w:ascii="Times New Roman" w:eastAsia="Times New Roman" w:hAnsi="Times New Roman" w:cs="Times New Roman"/>
          <w:sz w:val="24"/>
          <w:szCs w:val="24"/>
          <w:lang w:eastAsia="it-IT"/>
        </w:rPr>
        <w:t xml:space="preserve">di carattere </w:t>
      </w:r>
      <w:r w:rsidR="00A868EC" w:rsidRPr="007D1DFE">
        <w:rPr>
          <w:rFonts w:ascii="Times New Roman" w:eastAsia="Times New Roman" w:hAnsi="Times New Roman" w:cs="Times New Roman"/>
          <w:sz w:val="24"/>
          <w:szCs w:val="24"/>
          <w:lang w:eastAsia="it-IT"/>
        </w:rPr>
        <w:t>generale di prevenzione della corruzione</w:t>
      </w:r>
      <w:r w:rsidR="00E04456" w:rsidRPr="007D1DFE">
        <w:rPr>
          <w:rFonts w:ascii="Times New Roman" w:eastAsia="Times New Roman" w:hAnsi="Times New Roman" w:cs="Times New Roman"/>
          <w:sz w:val="24"/>
          <w:szCs w:val="24"/>
          <w:lang w:eastAsia="it-IT"/>
        </w:rPr>
        <w:t xml:space="preserve"> tesa al </w:t>
      </w:r>
      <w:r w:rsidR="00A868EC" w:rsidRPr="007D1DFE">
        <w:rPr>
          <w:rFonts w:ascii="Times New Roman" w:eastAsia="Times New Roman" w:hAnsi="Times New Roman" w:cs="Times New Roman"/>
          <w:sz w:val="24"/>
          <w:szCs w:val="24"/>
          <w:lang w:eastAsia="it-IT"/>
        </w:rPr>
        <w:t>controllo diffuso sull’agire pubblico</w:t>
      </w:r>
      <w:r w:rsidR="00E04456" w:rsidRPr="007D1DFE">
        <w:rPr>
          <w:rFonts w:ascii="Times New Roman" w:eastAsia="Times New Roman" w:hAnsi="Times New Roman" w:cs="Times New Roman"/>
          <w:sz w:val="24"/>
          <w:szCs w:val="24"/>
          <w:lang w:eastAsia="it-IT"/>
        </w:rPr>
        <w:t>, secondo una logica di bilanciamento e di complementarietà con la privacy</w:t>
      </w:r>
      <w:r w:rsidR="00A868EC" w:rsidRPr="007D1DFE">
        <w:rPr>
          <w:rFonts w:ascii="Times New Roman" w:eastAsia="Times New Roman" w:hAnsi="Times New Roman" w:cs="Times New Roman"/>
          <w:sz w:val="24"/>
          <w:szCs w:val="24"/>
          <w:lang w:eastAsia="it-IT"/>
        </w:rPr>
        <w:t xml:space="preserve"> .</w:t>
      </w:r>
    </w:p>
    <w:p w:rsidR="002775F4" w:rsidRPr="007D1DFE" w:rsidRDefault="000835A2"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Con </w:t>
      </w:r>
      <w:r w:rsidR="00E04456" w:rsidRPr="007D1DFE">
        <w:rPr>
          <w:rFonts w:ascii="Times New Roman" w:eastAsia="Times New Roman" w:hAnsi="Times New Roman" w:cs="Times New Roman"/>
          <w:sz w:val="24"/>
          <w:szCs w:val="24"/>
          <w:lang w:eastAsia="it-IT"/>
        </w:rPr>
        <w:t xml:space="preserve">successiva </w:t>
      </w:r>
      <w:r w:rsidRPr="007D1DFE">
        <w:rPr>
          <w:rFonts w:ascii="Times New Roman" w:eastAsia="Times New Roman" w:hAnsi="Times New Roman" w:cs="Times New Roman"/>
          <w:sz w:val="24"/>
          <w:szCs w:val="24"/>
          <w:lang w:eastAsia="it-IT"/>
        </w:rPr>
        <w:t xml:space="preserve">determinazione </w:t>
      </w:r>
      <w:r w:rsidR="00E04456" w:rsidRPr="007D1DFE">
        <w:rPr>
          <w:rFonts w:ascii="Times New Roman" w:eastAsia="Times New Roman" w:hAnsi="Times New Roman" w:cs="Times New Roman"/>
          <w:sz w:val="24"/>
          <w:szCs w:val="24"/>
          <w:lang w:eastAsia="it-IT"/>
        </w:rPr>
        <w:t xml:space="preserve">del Segretario generale </w:t>
      </w:r>
      <w:r w:rsidRPr="007D1DFE">
        <w:rPr>
          <w:rFonts w:ascii="Times New Roman" w:eastAsia="Times New Roman" w:hAnsi="Times New Roman" w:cs="Times New Roman"/>
          <w:sz w:val="24"/>
          <w:szCs w:val="24"/>
          <w:lang w:eastAsia="it-IT"/>
        </w:rPr>
        <w:t xml:space="preserve">30 </w:t>
      </w:r>
      <w:r w:rsidR="00E04456" w:rsidRPr="007D1DFE">
        <w:rPr>
          <w:rFonts w:ascii="Times New Roman" w:eastAsia="Times New Roman" w:hAnsi="Times New Roman" w:cs="Times New Roman"/>
          <w:sz w:val="24"/>
          <w:szCs w:val="24"/>
          <w:lang w:eastAsia="it-IT"/>
        </w:rPr>
        <w:t>ottobre 2018, n. 777 (</w:t>
      </w:r>
      <w:r w:rsidRPr="007D1DFE">
        <w:rPr>
          <w:rFonts w:ascii="Times New Roman" w:eastAsia="Times New Roman" w:hAnsi="Times New Roman" w:cs="Times New Roman"/>
          <w:sz w:val="24"/>
          <w:szCs w:val="24"/>
          <w:lang w:eastAsia="it-IT"/>
        </w:rPr>
        <w:t>Istituzione delle aree e degli uffici presso il Consiglio regionale. Revoca della determinazione 28 gennaio 201</w:t>
      </w:r>
      <w:r w:rsidR="00E04456" w:rsidRPr="007D1DFE">
        <w:rPr>
          <w:rFonts w:ascii="Times New Roman" w:eastAsia="Times New Roman" w:hAnsi="Times New Roman" w:cs="Times New Roman"/>
          <w:sz w:val="24"/>
          <w:szCs w:val="24"/>
          <w:lang w:eastAsia="it-IT"/>
        </w:rPr>
        <w:t>4, n. 45 e successive modifiche)</w:t>
      </w:r>
      <w:r w:rsidR="00A868EC" w:rsidRPr="007D1DFE">
        <w:rPr>
          <w:rFonts w:ascii="Times New Roman" w:eastAsia="Times New Roman" w:hAnsi="Times New Roman" w:cs="Times New Roman"/>
          <w:sz w:val="24"/>
          <w:szCs w:val="24"/>
          <w:lang w:eastAsia="it-IT"/>
        </w:rPr>
        <w:t xml:space="preserve"> </w:t>
      </w:r>
      <w:r w:rsidR="00E04456" w:rsidRPr="007D1DFE">
        <w:rPr>
          <w:rFonts w:ascii="Times New Roman" w:eastAsia="Times New Roman" w:hAnsi="Times New Roman" w:cs="Times New Roman"/>
          <w:sz w:val="24"/>
          <w:szCs w:val="24"/>
          <w:lang w:eastAsia="it-IT"/>
        </w:rPr>
        <w:t xml:space="preserve"> si è provveduto ad istituire le strutture organizzative (Aree e Uffici) in cui si articolano la Segreteria generale e i Servizi, definendone la relativa declaratoria delle competenze.</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L’organigramma riportato nell’Allegato 1 riprod</w:t>
      </w:r>
      <w:r w:rsidR="00E04456" w:rsidRPr="007D1DFE">
        <w:rPr>
          <w:rFonts w:ascii="Times New Roman" w:eastAsia="Times New Roman" w:hAnsi="Times New Roman" w:cs="Times New Roman"/>
          <w:sz w:val="24"/>
          <w:szCs w:val="24"/>
          <w:lang w:eastAsia="it-IT"/>
        </w:rPr>
        <w:t>uce la situazione alla data dell’</w:t>
      </w:r>
      <w:r w:rsidR="00023193" w:rsidRPr="007D1DFE">
        <w:rPr>
          <w:rFonts w:ascii="Times New Roman" w:eastAsia="Times New Roman" w:hAnsi="Times New Roman" w:cs="Times New Roman"/>
          <w:sz w:val="24"/>
          <w:szCs w:val="24"/>
          <w:lang w:eastAsia="it-IT"/>
        </w:rPr>
        <w:t>1 dicembre 2018.</w:t>
      </w:r>
    </w:p>
    <w:p w:rsidR="00023193" w:rsidRPr="007D1DFE" w:rsidRDefault="00023193" w:rsidP="007D1DFE">
      <w:pPr>
        <w:spacing w:line="240" w:lineRule="auto"/>
        <w:jc w:val="both"/>
        <w:rPr>
          <w:rFonts w:ascii="Times New Roman" w:eastAsia="Times New Roman" w:hAnsi="Times New Roman" w:cs="Times New Roman"/>
          <w:sz w:val="24"/>
          <w:szCs w:val="24"/>
          <w:shd w:val="clear" w:color="auto" w:fill="FFFFFF"/>
          <w:lang w:eastAsia="it-IT"/>
        </w:rPr>
      </w:pPr>
    </w:p>
    <w:p w:rsidR="00DE1C9C" w:rsidRPr="007D1DFE" w:rsidRDefault="00DE1C9C" w:rsidP="007D1DFE">
      <w:pPr>
        <w:spacing w:line="240" w:lineRule="auto"/>
        <w:jc w:val="both"/>
        <w:rPr>
          <w:rFonts w:ascii="Times New Roman" w:eastAsia="Times New Roman" w:hAnsi="Times New Roman" w:cs="Times New Roman"/>
          <w:sz w:val="24"/>
          <w:szCs w:val="24"/>
          <w:shd w:val="clear" w:color="auto" w:fill="FFFFFF"/>
          <w:lang w:eastAsia="it-IT"/>
        </w:rPr>
      </w:pPr>
      <w:r w:rsidRPr="007D1DFE">
        <w:rPr>
          <w:rFonts w:ascii="Times New Roman" w:eastAsia="Times New Roman" w:hAnsi="Times New Roman" w:cs="Times New Roman"/>
          <w:sz w:val="24"/>
          <w:szCs w:val="24"/>
          <w:shd w:val="clear" w:color="auto" w:fill="FFFFFF"/>
          <w:lang w:eastAsia="it-IT"/>
        </w:rPr>
        <w:br w:type="page"/>
      </w:r>
    </w:p>
    <w:p w:rsidR="00DE1C9C" w:rsidRPr="007D1DFE" w:rsidRDefault="00DE1C9C" w:rsidP="007D1DFE">
      <w:pPr>
        <w:spacing w:line="240" w:lineRule="auto"/>
        <w:jc w:val="both"/>
        <w:rPr>
          <w:rFonts w:ascii="Times New Roman" w:eastAsia="Times New Roman" w:hAnsi="Times New Roman" w:cs="Times New Roman"/>
          <w:sz w:val="24"/>
          <w:szCs w:val="24"/>
          <w:shd w:val="clear" w:color="auto" w:fill="FFFFFF"/>
          <w:lang w:eastAsia="it-IT"/>
        </w:rPr>
      </w:pPr>
    </w:p>
    <w:p w:rsidR="009903C3" w:rsidRPr="007D1DFE" w:rsidRDefault="009903C3" w:rsidP="007D1DFE">
      <w:pPr>
        <w:spacing w:line="240" w:lineRule="auto"/>
        <w:ind w:firstLine="708"/>
        <w:jc w:val="center"/>
        <w:rPr>
          <w:rFonts w:ascii="Times New Roman" w:eastAsia="Times New Roman" w:hAnsi="Times New Roman" w:cs="Times New Roman"/>
          <w:b/>
          <w:sz w:val="28"/>
          <w:szCs w:val="28"/>
          <w:lang w:eastAsia="it-IT"/>
        </w:rPr>
      </w:pPr>
      <w:r w:rsidRPr="007D1DFE">
        <w:rPr>
          <w:rFonts w:ascii="Times New Roman" w:eastAsia="Times New Roman" w:hAnsi="Times New Roman" w:cs="Times New Roman"/>
          <w:b/>
          <w:sz w:val="28"/>
          <w:szCs w:val="28"/>
          <w:lang w:eastAsia="it-IT"/>
        </w:rPr>
        <w:t>Sezione I</w:t>
      </w:r>
    </w:p>
    <w:p w:rsidR="009903C3" w:rsidRPr="007D1DFE" w:rsidRDefault="009903C3" w:rsidP="007D1DFE">
      <w:pPr>
        <w:spacing w:line="240" w:lineRule="auto"/>
        <w:ind w:firstLine="708"/>
        <w:jc w:val="center"/>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center"/>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PIANO TRIENNALE DI PREVENZIONE</w:t>
      </w:r>
    </w:p>
    <w:p w:rsidR="009903C3" w:rsidRPr="007D1DFE" w:rsidRDefault="009903C3" w:rsidP="007D1DFE">
      <w:pPr>
        <w:spacing w:line="240" w:lineRule="auto"/>
        <w:ind w:firstLine="708"/>
        <w:jc w:val="center"/>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 DELLA CORRUZIONE</w:t>
      </w:r>
    </w:p>
    <w:p w:rsidR="009903C3" w:rsidRPr="007D1DFE" w:rsidRDefault="009903C3" w:rsidP="007D1DFE">
      <w:pPr>
        <w:spacing w:line="240" w:lineRule="auto"/>
        <w:jc w:val="center"/>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2.1. Gli obiettivi, i contenuti e il percorso per la sua definizione.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709"/>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Secondo quanto previsto dal Piano Nazionale Anti Corruzione (</w:t>
      </w:r>
      <w:r w:rsidR="004B182E" w:rsidRPr="007D1DFE">
        <w:rPr>
          <w:rFonts w:ascii="Times New Roman" w:eastAsia="Times New Roman" w:hAnsi="Times New Roman" w:cs="Times New Roman"/>
          <w:sz w:val="24"/>
          <w:szCs w:val="24"/>
          <w:lang w:eastAsia="it-IT"/>
        </w:rPr>
        <w:t>PNA)</w:t>
      </w:r>
      <w:r w:rsidRPr="007D1DFE">
        <w:rPr>
          <w:rFonts w:ascii="Times New Roman" w:eastAsia="Times New Roman" w:hAnsi="Times New Roman" w:cs="Times New Roman"/>
          <w:sz w:val="24"/>
          <w:szCs w:val="24"/>
          <w:lang w:eastAsia="it-IT"/>
        </w:rPr>
        <w:t xml:space="preserve"> il Piano Triennale di Prevenzione della Corruzione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adottato da ciascuna pubblica amministrazione costituisce il documento fondamentale per la definizione della strategia di prevenzione </w:t>
      </w:r>
      <w:r w:rsidR="004B182E" w:rsidRPr="007D1DFE">
        <w:rPr>
          <w:rFonts w:ascii="Times New Roman" w:eastAsia="Times New Roman" w:hAnsi="Times New Roman" w:cs="Times New Roman"/>
          <w:sz w:val="24"/>
          <w:szCs w:val="24"/>
          <w:lang w:eastAsia="it-IT"/>
        </w:rPr>
        <w:t xml:space="preserve">della corruzione </w:t>
      </w:r>
      <w:r w:rsidRPr="007D1DFE">
        <w:rPr>
          <w:rFonts w:ascii="Times New Roman" w:eastAsia="Times New Roman" w:hAnsi="Times New Roman" w:cs="Times New Roman"/>
          <w:sz w:val="24"/>
          <w:szCs w:val="24"/>
          <w:lang w:eastAsia="it-IT"/>
        </w:rPr>
        <w:t>al proprio interno, volto a perseguire</w:t>
      </w:r>
      <w:r w:rsidR="004B182E" w:rsidRPr="007D1DFE">
        <w:rPr>
          <w:rFonts w:ascii="Times New Roman" w:eastAsia="Times New Roman" w:hAnsi="Times New Roman" w:cs="Times New Roman"/>
          <w:sz w:val="24"/>
          <w:szCs w:val="24"/>
          <w:lang w:eastAsia="it-IT"/>
        </w:rPr>
        <w:t>, in particolare,</w:t>
      </w:r>
      <w:r w:rsidRPr="007D1DFE">
        <w:rPr>
          <w:rFonts w:ascii="Times New Roman" w:eastAsia="Times New Roman" w:hAnsi="Times New Roman" w:cs="Times New Roman"/>
          <w:sz w:val="24"/>
          <w:szCs w:val="24"/>
          <w:lang w:eastAsia="it-IT"/>
        </w:rPr>
        <w:t xml:space="preserve"> i seguenti obiettivi strategici:</w:t>
      </w:r>
    </w:p>
    <w:p w:rsidR="009903C3" w:rsidRPr="007D1DFE" w:rsidRDefault="009903C3" w:rsidP="007D1DFE">
      <w:pPr>
        <w:numPr>
          <w:ilvl w:val="0"/>
          <w:numId w:val="1"/>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ridurre le possibilità che si realizzino casi di corruzione;</w:t>
      </w:r>
    </w:p>
    <w:p w:rsidR="009903C3" w:rsidRPr="007D1DFE" w:rsidRDefault="009903C3" w:rsidP="007D1DFE">
      <w:pPr>
        <w:numPr>
          <w:ilvl w:val="0"/>
          <w:numId w:val="1"/>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aumentare la capacità di scoprire casi di corruzione;</w:t>
      </w:r>
    </w:p>
    <w:p w:rsidR="009903C3" w:rsidRPr="007D1DFE" w:rsidRDefault="009903C3" w:rsidP="007D1DFE">
      <w:pPr>
        <w:numPr>
          <w:ilvl w:val="0"/>
          <w:numId w:val="1"/>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realizzare un contesto sfavorevole alla corruzione;</w:t>
      </w:r>
    </w:p>
    <w:p w:rsidR="009903C3" w:rsidRPr="007D1DFE" w:rsidRDefault="009903C3" w:rsidP="007D1DFE">
      <w:pPr>
        <w:numPr>
          <w:ilvl w:val="0"/>
          <w:numId w:val="1"/>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assicurare ulteriori forme di trasparenza rispetto a quelle già previste dalla normativa nazionale </w:t>
      </w:r>
      <w:r w:rsidRPr="007D1DFE">
        <w:rPr>
          <w:rFonts w:ascii="Times New Roman" w:eastAsia="Times New Roman" w:hAnsi="Times New Roman" w:cs="Times New Roman"/>
          <w:sz w:val="24"/>
          <w:szCs w:val="24"/>
          <w:vertAlign w:val="superscript"/>
          <w:lang w:eastAsia="it-IT"/>
        </w:rPr>
        <w:footnoteReference w:id="17"/>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presente atto programmatorio, che costituis</w:t>
      </w:r>
      <w:r w:rsidR="004B182E" w:rsidRPr="007D1DFE">
        <w:rPr>
          <w:rFonts w:ascii="Times New Roman" w:eastAsia="Times New Roman" w:hAnsi="Times New Roman" w:cs="Times New Roman"/>
          <w:sz w:val="24"/>
          <w:szCs w:val="24"/>
          <w:lang w:eastAsia="it-IT"/>
        </w:rPr>
        <w:t>ce un aggiornamento del PTPC 20</w:t>
      </w:r>
      <w:r w:rsidR="002775F4" w:rsidRPr="007D1DFE">
        <w:rPr>
          <w:rFonts w:ascii="Times New Roman" w:eastAsia="Times New Roman" w:hAnsi="Times New Roman" w:cs="Times New Roman"/>
          <w:sz w:val="24"/>
          <w:szCs w:val="24"/>
          <w:lang w:eastAsia="it-IT"/>
        </w:rPr>
        <w:t>18</w:t>
      </w:r>
      <w:r w:rsidRPr="007D1DFE">
        <w:rPr>
          <w:rFonts w:ascii="Times New Roman" w:eastAsia="Times New Roman" w:hAnsi="Times New Roman" w:cs="Times New Roman"/>
          <w:sz w:val="24"/>
          <w:szCs w:val="24"/>
          <w:lang w:eastAsia="it-IT"/>
        </w:rPr>
        <w:t>-20</w:t>
      </w:r>
      <w:r w:rsidR="002775F4" w:rsidRPr="007D1DFE">
        <w:rPr>
          <w:rFonts w:ascii="Times New Roman" w:eastAsia="Times New Roman" w:hAnsi="Times New Roman" w:cs="Times New Roman"/>
          <w:sz w:val="24"/>
          <w:szCs w:val="24"/>
          <w:lang w:eastAsia="it-IT"/>
        </w:rPr>
        <w:t>20</w:t>
      </w:r>
      <w:r w:rsidRPr="007D1DFE">
        <w:rPr>
          <w:rFonts w:ascii="Times New Roman" w:eastAsia="Times New Roman" w:hAnsi="Times New Roman" w:cs="Times New Roman"/>
          <w:sz w:val="24"/>
          <w:szCs w:val="24"/>
          <w:lang w:eastAsia="it-IT"/>
        </w:rPr>
        <w:t>,  è quindi strut</w:t>
      </w:r>
      <w:r w:rsidR="004B182E" w:rsidRPr="007D1DFE">
        <w:rPr>
          <w:rFonts w:ascii="Times New Roman" w:eastAsia="Times New Roman" w:hAnsi="Times New Roman" w:cs="Times New Roman"/>
          <w:sz w:val="24"/>
          <w:szCs w:val="24"/>
          <w:lang w:eastAsia="it-IT"/>
        </w:rPr>
        <w:t>turato secondo le indicazioni de</w:t>
      </w:r>
      <w:r w:rsidRPr="007D1DFE">
        <w:rPr>
          <w:rFonts w:ascii="Times New Roman" w:eastAsia="Times New Roman" w:hAnsi="Times New Roman" w:cs="Times New Roman"/>
          <w:sz w:val="24"/>
          <w:szCs w:val="24"/>
          <w:lang w:eastAsia="it-IT"/>
        </w:rPr>
        <w:t xml:space="preserve">l </w:t>
      </w:r>
      <w:r w:rsidR="004B182E" w:rsidRPr="007D1DFE">
        <w:rPr>
          <w:rFonts w:ascii="Times New Roman" w:eastAsia="Times New Roman" w:hAnsi="Times New Roman" w:cs="Times New Roman"/>
          <w:sz w:val="24"/>
          <w:szCs w:val="24"/>
          <w:lang w:eastAsia="it-IT"/>
        </w:rPr>
        <w:t>PNA</w:t>
      </w:r>
      <w:r w:rsidRPr="007D1DFE">
        <w:rPr>
          <w:rFonts w:ascii="Times New Roman" w:eastAsia="Times New Roman" w:hAnsi="Times New Roman" w:cs="Times New Roman"/>
          <w:sz w:val="24"/>
          <w:szCs w:val="24"/>
          <w:lang w:eastAsia="it-IT"/>
        </w:rPr>
        <w:t xml:space="preserve"> partendo da un’analisi </w:t>
      </w:r>
      <w:r w:rsidR="004B182E" w:rsidRPr="007D1DFE">
        <w:rPr>
          <w:rFonts w:ascii="Times New Roman" w:eastAsia="Times New Roman" w:hAnsi="Times New Roman" w:cs="Times New Roman"/>
          <w:sz w:val="24"/>
          <w:szCs w:val="24"/>
          <w:lang w:eastAsia="it-IT"/>
        </w:rPr>
        <w:t xml:space="preserve">dei processi in cui si declina l’attività amministrativa dell’Ente per pervenire </w:t>
      </w:r>
      <w:r w:rsidRPr="007D1DFE">
        <w:rPr>
          <w:rFonts w:ascii="Times New Roman" w:eastAsia="Times New Roman" w:hAnsi="Times New Roman" w:cs="Times New Roman"/>
          <w:sz w:val="24"/>
          <w:szCs w:val="24"/>
          <w:lang w:eastAsia="it-IT"/>
        </w:rPr>
        <w:t xml:space="preserve">all’individuazione delle misure </w:t>
      </w:r>
      <w:r w:rsidR="004B182E" w:rsidRPr="007D1DFE">
        <w:rPr>
          <w:rFonts w:ascii="Times New Roman" w:eastAsia="Times New Roman" w:hAnsi="Times New Roman" w:cs="Times New Roman"/>
          <w:sz w:val="24"/>
          <w:szCs w:val="24"/>
          <w:lang w:eastAsia="it-IT"/>
        </w:rPr>
        <w:t xml:space="preserve">tecniche ed organizzative </w:t>
      </w:r>
      <w:r w:rsidRPr="007D1DFE">
        <w:rPr>
          <w:rFonts w:ascii="Times New Roman" w:eastAsia="Times New Roman" w:hAnsi="Times New Roman" w:cs="Times New Roman"/>
          <w:sz w:val="24"/>
          <w:szCs w:val="24"/>
          <w:lang w:eastAsia="it-IT"/>
        </w:rPr>
        <w:t>ritenute più idonee a prevenire l’insorgenza di fenomeni corruttivi</w:t>
      </w:r>
      <w:r w:rsidR="004B182E" w:rsidRPr="007D1DFE">
        <w:rPr>
          <w:rFonts w:ascii="Times New Roman" w:eastAsia="Times New Roman" w:hAnsi="Times New Roman" w:cs="Times New Roman"/>
          <w:sz w:val="24"/>
          <w:szCs w:val="24"/>
          <w:lang w:eastAsia="it-IT"/>
        </w:rPr>
        <w:t xml:space="preserve"> che</w:t>
      </w:r>
      <w:r w:rsidRPr="007D1DFE">
        <w:rPr>
          <w:rFonts w:ascii="Times New Roman" w:eastAsia="Times New Roman" w:hAnsi="Times New Roman" w:cs="Times New Roman"/>
          <w:sz w:val="24"/>
          <w:szCs w:val="24"/>
          <w:lang w:eastAsia="it-IT"/>
        </w:rPr>
        <w:t xml:space="preserve">, </w:t>
      </w:r>
      <w:r w:rsidR="004B182E" w:rsidRPr="007D1DFE">
        <w:rPr>
          <w:rFonts w:ascii="Times New Roman" w:eastAsia="Times New Roman" w:hAnsi="Times New Roman" w:cs="Times New Roman"/>
          <w:sz w:val="24"/>
          <w:szCs w:val="24"/>
          <w:lang w:eastAsia="it-IT"/>
        </w:rPr>
        <w:t xml:space="preserve">secondo l’ampia </w:t>
      </w:r>
      <w:r w:rsidRPr="007D1DFE">
        <w:rPr>
          <w:rFonts w:ascii="Times New Roman" w:eastAsia="Times New Roman" w:hAnsi="Times New Roman" w:cs="Times New Roman"/>
          <w:sz w:val="24"/>
          <w:szCs w:val="24"/>
          <w:lang w:eastAsia="it-IT"/>
        </w:rPr>
        <w:t xml:space="preserve">accezione terminologica </w:t>
      </w:r>
      <w:r w:rsidR="004B182E" w:rsidRPr="007D1DFE">
        <w:rPr>
          <w:rFonts w:ascii="Times New Roman" w:eastAsia="Times New Roman" w:hAnsi="Times New Roman" w:cs="Times New Roman"/>
          <w:sz w:val="24"/>
          <w:szCs w:val="24"/>
          <w:lang w:eastAsia="it-IT"/>
        </w:rPr>
        <w:t>di cui al</w:t>
      </w:r>
      <w:r w:rsidRPr="007D1DFE">
        <w:rPr>
          <w:rFonts w:ascii="Times New Roman" w:eastAsia="Times New Roman" w:hAnsi="Times New Roman" w:cs="Times New Roman"/>
          <w:sz w:val="24"/>
          <w:szCs w:val="24"/>
          <w:lang w:eastAsia="it-IT"/>
        </w:rPr>
        <w:t xml:space="preserve"> </w:t>
      </w:r>
      <w:r w:rsidR="004B182E" w:rsidRPr="007D1DFE">
        <w:rPr>
          <w:rFonts w:ascii="Times New Roman" w:eastAsia="Times New Roman" w:hAnsi="Times New Roman" w:cs="Times New Roman"/>
          <w:sz w:val="24"/>
          <w:szCs w:val="24"/>
          <w:lang w:eastAsia="it-IT"/>
        </w:rPr>
        <w:t xml:space="preserve">PNA., ricomprendono </w:t>
      </w:r>
      <w:r w:rsidR="004B182E" w:rsidRPr="007D1DFE">
        <w:rPr>
          <w:rFonts w:ascii="Times New Roman" w:eastAsia="Times New Roman" w:hAnsi="Times New Roman" w:cs="Times New Roman"/>
          <w:i/>
          <w:sz w:val="24"/>
          <w:szCs w:val="24"/>
          <w:lang w:eastAsia="it-IT"/>
        </w:rPr>
        <w:t>“le</w:t>
      </w:r>
      <w:r w:rsidR="004B182E"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i/>
          <w:sz w:val="24"/>
          <w:szCs w:val="24"/>
          <w:lang w:eastAsia="it-IT"/>
        </w:rPr>
        <w:t>varie situazioni in cui, nel corso dell’attività amministrativa, si riscontri l’abuso da parte di un soggetto del potere a lui affidato, al fine di ottenere vantaggi privati</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Si ritiene opportuno</w:t>
      </w:r>
      <w:r w:rsidR="004B182E" w:rsidRPr="007D1DFE">
        <w:rPr>
          <w:rFonts w:ascii="Times New Roman" w:eastAsia="Times New Roman" w:hAnsi="Times New Roman" w:cs="Times New Roman"/>
          <w:sz w:val="24"/>
          <w:szCs w:val="24"/>
          <w:lang w:eastAsia="it-IT"/>
        </w:rPr>
        <w:t>, in questa sede,</w:t>
      </w:r>
      <w:r w:rsidRPr="007D1DFE">
        <w:rPr>
          <w:rFonts w:ascii="Times New Roman" w:eastAsia="Times New Roman" w:hAnsi="Times New Roman" w:cs="Times New Roman"/>
          <w:sz w:val="24"/>
          <w:szCs w:val="24"/>
          <w:lang w:eastAsia="it-IT"/>
        </w:rPr>
        <w:t xml:space="preserve"> </w:t>
      </w:r>
      <w:r w:rsidR="006245FC" w:rsidRPr="007D1DFE">
        <w:rPr>
          <w:rFonts w:ascii="Times New Roman" w:eastAsia="Times New Roman" w:hAnsi="Times New Roman" w:cs="Times New Roman"/>
          <w:sz w:val="24"/>
          <w:szCs w:val="24"/>
          <w:lang w:eastAsia="it-IT"/>
        </w:rPr>
        <w:t xml:space="preserve">precisare </w:t>
      </w:r>
      <w:r w:rsidRPr="007D1DFE">
        <w:rPr>
          <w:rFonts w:ascii="Times New Roman" w:eastAsia="Times New Roman" w:hAnsi="Times New Roman" w:cs="Times New Roman"/>
          <w:sz w:val="24"/>
          <w:szCs w:val="24"/>
          <w:lang w:eastAsia="it-IT"/>
        </w:rPr>
        <w:t xml:space="preserve">che con il termine di "processo" si intende </w:t>
      </w:r>
      <w:r w:rsidR="006245FC" w:rsidRPr="007D1DFE">
        <w:rPr>
          <w:rFonts w:ascii="Times New Roman" w:eastAsia="Times New Roman" w:hAnsi="Times New Roman" w:cs="Times New Roman"/>
          <w:sz w:val="24"/>
          <w:szCs w:val="24"/>
          <w:lang w:eastAsia="it-IT"/>
        </w:rPr>
        <w:t xml:space="preserve">un </w:t>
      </w:r>
      <w:r w:rsidRPr="007D1DFE">
        <w:rPr>
          <w:rFonts w:ascii="Times New Roman" w:eastAsia="Times New Roman" w:hAnsi="Times New Roman" w:cs="Times New Roman"/>
          <w:sz w:val="24"/>
          <w:szCs w:val="24"/>
          <w:lang w:eastAsia="it-IT"/>
        </w:rPr>
        <w:t>insieme d</w:t>
      </w:r>
      <w:r w:rsidR="004B182E" w:rsidRPr="007D1DFE">
        <w:rPr>
          <w:rFonts w:ascii="Times New Roman" w:eastAsia="Times New Roman" w:hAnsi="Times New Roman" w:cs="Times New Roman"/>
          <w:sz w:val="24"/>
          <w:szCs w:val="24"/>
          <w:lang w:eastAsia="it-IT"/>
        </w:rPr>
        <w:t>i</w:t>
      </w:r>
      <w:r w:rsidRPr="007D1DFE">
        <w:rPr>
          <w:rFonts w:ascii="Times New Roman" w:eastAsia="Times New Roman" w:hAnsi="Times New Roman" w:cs="Times New Roman"/>
          <w:sz w:val="24"/>
          <w:szCs w:val="24"/>
          <w:lang w:eastAsia="it-IT"/>
        </w:rPr>
        <w:t xml:space="preserve"> attività</w:t>
      </w:r>
      <w:r w:rsidR="00182240" w:rsidRPr="007D1DFE">
        <w:rPr>
          <w:rFonts w:ascii="Times New Roman" w:eastAsia="Times New Roman" w:hAnsi="Times New Roman" w:cs="Times New Roman"/>
          <w:sz w:val="24"/>
          <w:szCs w:val="24"/>
          <w:lang w:eastAsia="it-IT"/>
        </w:rPr>
        <w:t xml:space="preserve"> ripetitive, sequenziali e </w:t>
      </w:r>
      <w:r w:rsidR="004B182E" w:rsidRPr="007D1DFE">
        <w:rPr>
          <w:rFonts w:ascii="Times New Roman" w:eastAsia="Times New Roman" w:hAnsi="Times New Roman" w:cs="Times New Roman"/>
          <w:sz w:val="24"/>
          <w:szCs w:val="24"/>
          <w:lang w:eastAsia="it-IT"/>
        </w:rPr>
        <w:t>condivise</w:t>
      </w:r>
      <w:r w:rsidRPr="007D1DFE">
        <w:rPr>
          <w:rFonts w:ascii="Times New Roman" w:eastAsia="Times New Roman" w:hAnsi="Times New Roman" w:cs="Times New Roman"/>
          <w:sz w:val="24"/>
          <w:szCs w:val="24"/>
          <w:lang w:eastAsia="it-IT"/>
        </w:rPr>
        <w:t xml:space="preserve"> </w:t>
      </w:r>
      <w:r w:rsidR="004B182E" w:rsidRPr="007D1DFE">
        <w:rPr>
          <w:rFonts w:ascii="Times New Roman" w:eastAsia="Times New Roman" w:hAnsi="Times New Roman" w:cs="Times New Roman"/>
          <w:sz w:val="24"/>
          <w:szCs w:val="24"/>
          <w:lang w:eastAsia="it-IT"/>
        </w:rPr>
        <w:t>da chi le attua</w:t>
      </w:r>
      <w:r w:rsidR="006245FC" w:rsidRPr="007D1DFE">
        <w:rPr>
          <w:rFonts w:ascii="Times New Roman" w:eastAsia="Times New Roman" w:hAnsi="Times New Roman" w:cs="Times New Roman"/>
          <w:sz w:val="24"/>
          <w:szCs w:val="24"/>
          <w:lang w:eastAsia="it-IT"/>
        </w:rPr>
        <w:t xml:space="preserve"> (</w:t>
      </w:r>
      <w:r w:rsidR="00E45778" w:rsidRPr="007D1DFE">
        <w:rPr>
          <w:rFonts w:ascii="Times New Roman" w:eastAsia="Times New Roman" w:hAnsi="Times New Roman" w:cs="Times New Roman"/>
          <w:sz w:val="24"/>
          <w:szCs w:val="24"/>
          <w:lang w:eastAsia="it-IT"/>
        </w:rPr>
        <w:t>variabili in base</w:t>
      </w:r>
      <w:r w:rsidR="004B182E" w:rsidRPr="007D1DFE">
        <w:rPr>
          <w:rFonts w:ascii="Times New Roman" w:eastAsia="Times New Roman" w:hAnsi="Times New Roman" w:cs="Times New Roman"/>
          <w:sz w:val="24"/>
          <w:szCs w:val="24"/>
          <w:lang w:eastAsia="it-IT"/>
        </w:rPr>
        <w:t xml:space="preserve"> ai modelli organizzativi dell’Ente e ad altri fattori quali la complessità dei processi decisionali </w:t>
      </w:r>
      <w:r w:rsidR="00182240" w:rsidRPr="007D1DFE">
        <w:rPr>
          <w:rFonts w:ascii="Times New Roman" w:eastAsia="Times New Roman" w:hAnsi="Times New Roman" w:cs="Times New Roman"/>
          <w:sz w:val="24"/>
          <w:szCs w:val="24"/>
          <w:lang w:eastAsia="it-IT"/>
        </w:rPr>
        <w:t>e i regolamenti interni</w:t>
      </w:r>
      <w:r w:rsidR="006245FC" w:rsidRPr="007D1DFE">
        <w:rPr>
          <w:rFonts w:ascii="Times New Roman" w:eastAsia="Times New Roman" w:hAnsi="Times New Roman" w:cs="Times New Roman"/>
          <w:sz w:val="24"/>
          <w:szCs w:val="24"/>
          <w:lang w:eastAsia="it-IT"/>
        </w:rPr>
        <w:t xml:space="preserve">) </w:t>
      </w:r>
      <w:r w:rsidR="00182240" w:rsidRPr="007D1DFE">
        <w:rPr>
          <w:rFonts w:ascii="Times New Roman" w:eastAsia="Times New Roman" w:hAnsi="Times New Roman" w:cs="Times New Roman"/>
          <w:sz w:val="24"/>
          <w:szCs w:val="24"/>
          <w:lang w:eastAsia="it-IT"/>
        </w:rPr>
        <w:t>che, attraverso l’utilizzo d</w:t>
      </w:r>
      <w:r w:rsidR="006245FC" w:rsidRPr="007D1DFE">
        <w:rPr>
          <w:rFonts w:ascii="Times New Roman" w:eastAsia="Times New Roman" w:hAnsi="Times New Roman" w:cs="Times New Roman"/>
          <w:sz w:val="24"/>
          <w:szCs w:val="24"/>
          <w:lang w:eastAsia="it-IT"/>
        </w:rPr>
        <w:t>i</w:t>
      </w:r>
      <w:r w:rsidR="00182240" w:rsidRPr="007D1DFE">
        <w:rPr>
          <w:rFonts w:ascii="Times New Roman" w:eastAsia="Times New Roman" w:hAnsi="Times New Roman" w:cs="Times New Roman"/>
          <w:sz w:val="24"/>
          <w:szCs w:val="24"/>
          <w:lang w:eastAsia="it-IT"/>
        </w:rPr>
        <w:t xml:space="preserve"> risorse umane e strumentali </w:t>
      </w:r>
      <w:r w:rsidR="006245FC" w:rsidRPr="007D1DFE">
        <w:rPr>
          <w:rFonts w:ascii="Times New Roman" w:eastAsia="Times New Roman" w:hAnsi="Times New Roman" w:cs="Times New Roman"/>
          <w:sz w:val="24"/>
          <w:szCs w:val="24"/>
          <w:lang w:eastAsia="it-IT"/>
        </w:rPr>
        <w:t>(d</w:t>
      </w:r>
      <w:r w:rsidR="00182240" w:rsidRPr="007D1DFE">
        <w:rPr>
          <w:rFonts w:ascii="Times New Roman" w:eastAsia="Times New Roman" w:hAnsi="Times New Roman" w:cs="Times New Roman"/>
          <w:sz w:val="24"/>
          <w:szCs w:val="24"/>
          <w:lang w:eastAsia="it-IT"/>
        </w:rPr>
        <w:t xml:space="preserve">i cui si ha </w:t>
      </w:r>
      <w:r w:rsidR="00DA1D2B" w:rsidRPr="007D1DFE">
        <w:rPr>
          <w:rFonts w:ascii="Times New Roman" w:eastAsia="Times New Roman" w:hAnsi="Times New Roman" w:cs="Times New Roman"/>
          <w:sz w:val="24"/>
          <w:szCs w:val="24"/>
          <w:lang w:eastAsia="it-IT"/>
        </w:rPr>
        <w:t xml:space="preserve">normalmente </w:t>
      </w:r>
      <w:r w:rsidR="00182240" w:rsidRPr="007D1DFE">
        <w:rPr>
          <w:rFonts w:ascii="Times New Roman" w:eastAsia="Times New Roman" w:hAnsi="Times New Roman" w:cs="Times New Roman"/>
          <w:sz w:val="24"/>
          <w:szCs w:val="24"/>
          <w:lang w:eastAsia="it-IT"/>
        </w:rPr>
        <w:t xml:space="preserve">una descrizione negli organigrammi e nei </w:t>
      </w:r>
      <w:proofErr w:type="spellStart"/>
      <w:r w:rsidR="00182240" w:rsidRPr="007D1DFE">
        <w:rPr>
          <w:rFonts w:ascii="Times New Roman" w:eastAsia="Times New Roman" w:hAnsi="Times New Roman" w:cs="Times New Roman"/>
          <w:sz w:val="24"/>
          <w:szCs w:val="24"/>
          <w:lang w:eastAsia="it-IT"/>
        </w:rPr>
        <w:t>funzionigrammi</w:t>
      </w:r>
      <w:proofErr w:type="spellEnd"/>
      <w:r w:rsidR="00182240" w:rsidRPr="007D1DFE">
        <w:rPr>
          <w:rFonts w:ascii="Times New Roman" w:eastAsia="Times New Roman" w:hAnsi="Times New Roman" w:cs="Times New Roman"/>
          <w:sz w:val="24"/>
          <w:szCs w:val="24"/>
          <w:lang w:eastAsia="it-IT"/>
        </w:rPr>
        <w:t xml:space="preserve"> dell’Ente</w:t>
      </w:r>
      <w:r w:rsidR="006245FC" w:rsidRPr="007D1DFE">
        <w:rPr>
          <w:rFonts w:ascii="Times New Roman" w:eastAsia="Times New Roman" w:hAnsi="Times New Roman" w:cs="Times New Roman"/>
          <w:sz w:val="24"/>
          <w:szCs w:val="24"/>
          <w:lang w:eastAsia="it-IT"/>
        </w:rPr>
        <w:t>),</w:t>
      </w:r>
      <w:r w:rsidR="00182240" w:rsidRPr="007D1DFE">
        <w:rPr>
          <w:rFonts w:ascii="Times New Roman" w:eastAsia="Times New Roman" w:hAnsi="Times New Roman" w:cs="Times New Roman"/>
          <w:sz w:val="24"/>
          <w:szCs w:val="24"/>
          <w:lang w:eastAsia="it-IT"/>
        </w:rPr>
        <w:t xml:space="preserve"> sono preordinate a creare un prodotto destinato all’interno della PA o alla sua utenza. Il concetto di processo non va confuso con quello di procedimento amministrativo, intendendosi per </w:t>
      </w:r>
      <w:r w:rsidR="006245FC" w:rsidRPr="007D1DFE">
        <w:rPr>
          <w:rFonts w:ascii="Times New Roman" w:eastAsia="Times New Roman" w:hAnsi="Times New Roman" w:cs="Times New Roman"/>
          <w:sz w:val="24"/>
          <w:szCs w:val="24"/>
          <w:lang w:eastAsia="it-IT"/>
        </w:rPr>
        <w:t>esso</w:t>
      </w:r>
      <w:r w:rsidR="00182240" w:rsidRPr="007D1DFE">
        <w:rPr>
          <w:rFonts w:ascii="Times New Roman" w:eastAsia="Times New Roman" w:hAnsi="Times New Roman" w:cs="Times New Roman"/>
          <w:sz w:val="24"/>
          <w:szCs w:val="24"/>
          <w:lang w:eastAsia="it-IT"/>
        </w:rPr>
        <w:t xml:space="preserve"> una pluralità di atti tra loro autonomi, scanditi nel tempo e destinati allo stesso fine ossia all’emanazione di un provvedimento finale attraverso cui la PA manifesta la propria volontà. </w:t>
      </w:r>
      <w:r w:rsidR="001954E3" w:rsidRPr="007D1DFE">
        <w:rPr>
          <w:rFonts w:ascii="Times New Roman" w:eastAsia="Times New Roman" w:hAnsi="Times New Roman" w:cs="Times New Roman"/>
          <w:sz w:val="24"/>
          <w:szCs w:val="24"/>
          <w:lang w:eastAsia="it-IT"/>
        </w:rPr>
        <w:t>Da</w:t>
      </w:r>
      <w:r w:rsidR="006245FC" w:rsidRPr="007D1DFE">
        <w:rPr>
          <w:rFonts w:ascii="Times New Roman" w:eastAsia="Times New Roman" w:hAnsi="Times New Roman" w:cs="Times New Roman"/>
          <w:sz w:val="24"/>
          <w:szCs w:val="24"/>
          <w:lang w:eastAsia="it-IT"/>
        </w:rPr>
        <w:t xml:space="preserve"> tale ultima definizione </w:t>
      </w:r>
      <w:r w:rsidR="001954E3" w:rsidRPr="007D1DFE">
        <w:rPr>
          <w:rFonts w:ascii="Times New Roman" w:eastAsia="Times New Roman" w:hAnsi="Times New Roman" w:cs="Times New Roman"/>
          <w:sz w:val="24"/>
          <w:szCs w:val="24"/>
          <w:lang w:eastAsia="it-IT"/>
        </w:rPr>
        <w:t>si ricava</w:t>
      </w:r>
      <w:r w:rsidR="006245FC" w:rsidRPr="007D1DFE">
        <w:rPr>
          <w:rFonts w:ascii="Times New Roman" w:eastAsia="Times New Roman" w:hAnsi="Times New Roman" w:cs="Times New Roman"/>
          <w:sz w:val="24"/>
          <w:szCs w:val="24"/>
          <w:lang w:eastAsia="it-IT"/>
        </w:rPr>
        <w:t>, dunque, come</w:t>
      </w:r>
      <w:r w:rsidR="001954E3" w:rsidRPr="007D1DFE">
        <w:rPr>
          <w:rFonts w:ascii="Times New Roman" w:eastAsia="Times New Roman" w:hAnsi="Times New Roman" w:cs="Times New Roman"/>
          <w:sz w:val="24"/>
          <w:szCs w:val="24"/>
          <w:lang w:eastAsia="it-IT"/>
        </w:rPr>
        <w:t xml:space="preserve"> nell’ambito di un</w:t>
      </w:r>
      <w:r w:rsidR="006245FC" w:rsidRPr="007D1DFE">
        <w:rPr>
          <w:rFonts w:ascii="Times New Roman" w:eastAsia="Times New Roman" w:hAnsi="Times New Roman" w:cs="Times New Roman"/>
          <w:sz w:val="24"/>
          <w:szCs w:val="24"/>
          <w:lang w:eastAsia="it-IT"/>
        </w:rPr>
        <w:t>o stesso</w:t>
      </w:r>
      <w:r w:rsidR="001954E3" w:rsidRPr="007D1DFE">
        <w:rPr>
          <w:rFonts w:ascii="Times New Roman" w:eastAsia="Times New Roman" w:hAnsi="Times New Roman" w:cs="Times New Roman"/>
          <w:sz w:val="24"/>
          <w:szCs w:val="24"/>
          <w:lang w:eastAsia="it-IT"/>
        </w:rPr>
        <w:t xml:space="preserve"> processo s</w:t>
      </w:r>
      <w:r w:rsidR="006245FC" w:rsidRPr="007D1DFE">
        <w:rPr>
          <w:rFonts w:ascii="Times New Roman" w:eastAsia="Times New Roman" w:hAnsi="Times New Roman" w:cs="Times New Roman"/>
          <w:sz w:val="24"/>
          <w:szCs w:val="24"/>
          <w:lang w:eastAsia="it-IT"/>
        </w:rPr>
        <w:t>ia possibile individuare</w:t>
      </w:r>
      <w:r w:rsidR="001954E3" w:rsidRPr="007D1DFE">
        <w:rPr>
          <w:rFonts w:ascii="Times New Roman" w:eastAsia="Times New Roman" w:hAnsi="Times New Roman" w:cs="Times New Roman"/>
          <w:sz w:val="24"/>
          <w:szCs w:val="24"/>
          <w:lang w:eastAsia="it-IT"/>
        </w:rPr>
        <w:t xml:space="preserve"> più procedimenti amministrativi </w:t>
      </w:r>
      <w:r w:rsidR="006245FC" w:rsidRPr="007D1DFE">
        <w:rPr>
          <w:rFonts w:ascii="Times New Roman" w:eastAsia="Times New Roman" w:hAnsi="Times New Roman" w:cs="Times New Roman"/>
          <w:sz w:val="24"/>
          <w:szCs w:val="24"/>
          <w:lang w:eastAsia="it-IT"/>
        </w:rPr>
        <w:t>che</w:t>
      </w:r>
      <w:r w:rsidR="00E45778" w:rsidRPr="007D1DFE">
        <w:rPr>
          <w:rFonts w:ascii="Times New Roman" w:eastAsia="Times New Roman" w:hAnsi="Times New Roman" w:cs="Times New Roman"/>
          <w:sz w:val="24"/>
          <w:szCs w:val="24"/>
          <w:lang w:eastAsia="it-IT"/>
        </w:rPr>
        <w:t xml:space="preserve">, </w:t>
      </w:r>
      <w:r w:rsidR="001954E3" w:rsidRPr="007D1DFE">
        <w:rPr>
          <w:rFonts w:ascii="Times New Roman" w:eastAsia="Times New Roman" w:hAnsi="Times New Roman" w:cs="Times New Roman"/>
          <w:sz w:val="24"/>
          <w:szCs w:val="24"/>
          <w:lang w:eastAsia="it-IT"/>
        </w:rPr>
        <w:t>a loro volta</w:t>
      </w:r>
      <w:r w:rsidR="00E45778" w:rsidRPr="007D1DFE">
        <w:rPr>
          <w:rFonts w:ascii="Times New Roman" w:eastAsia="Times New Roman" w:hAnsi="Times New Roman" w:cs="Times New Roman"/>
          <w:sz w:val="24"/>
          <w:szCs w:val="24"/>
          <w:lang w:eastAsia="it-IT"/>
        </w:rPr>
        <w:t>,</w:t>
      </w:r>
      <w:r w:rsidR="001954E3" w:rsidRPr="007D1DFE">
        <w:rPr>
          <w:rFonts w:ascii="Times New Roman" w:eastAsia="Times New Roman" w:hAnsi="Times New Roman" w:cs="Times New Roman"/>
          <w:sz w:val="24"/>
          <w:szCs w:val="24"/>
          <w:lang w:eastAsia="it-IT"/>
        </w:rPr>
        <w:t xml:space="preserve"> possono essere a istanza di parte o d’ufficio e </w:t>
      </w:r>
      <w:r w:rsidR="00E45778" w:rsidRPr="007D1DFE">
        <w:rPr>
          <w:rFonts w:ascii="Times New Roman" w:eastAsia="Times New Roman" w:hAnsi="Times New Roman" w:cs="Times New Roman"/>
          <w:sz w:val="24"/>
          <w:szCs w:val="24"/>
          <w:lang w:eastAsia="it-IT"/>
        </w:rPr>
        <w:t>articolarsi</w:t>
      </w:r>
      <w:r w:rsidR="001954E3" w:rsidRPr="007D1DFE">
        <w:rPr>
          <w:rFonts w:ascii="Times New Roman" w:eastAsia="Times New Roman" w:hAnsi="Times New Roman" w:cs="Times New Roman"/>
          <w:sz w:val="24"/>
          <w:szCs w:val="24"/>
          <w:lang w:eastAsia="it-IT"/>
        </w:rPr>
        <w:t xml:space="preserve"> in una serie di passaggi</w:t>
      </w:r>
      <w:r w:rsidR="006245FC" w:rsidRPr="007D1DFE">
        <w:rPr>
          <w:rFonts w:ascii="Times New Roman" w:eastAsia="Times New Roman" w:hAnsi="Times New Roman" w:cs="Times New Roman"/>
          <w:sz w:val="24"/>
          <w:szCs w:val="24"/>
          <w:lang w:eastAsia="it-IT"/>
        </w:rPr>
        <w:t>,</w:t>
      </w:r>
      <w:r w:rsidR="001954E3" w:rsidRPr="007D1DFE">
        <w:rPr>
          <w:rFonts w:ascii="Times New Roman" w:eastAsia="Times New Roman" w:hAnsi="Times New Roman" w:cs="Times New Roman"/>
          <w:sz w:val="24"/>
          <w:szCs w:val="24"/>
          <w:lang w:eastAsia="it-IT"/>
        </w:rPr>
        <w:t xml:space="preserve"> ordinariamente suddivisi nelle fasi preparatoria, decisoria e dell’efficacia.</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 occasione della redazione del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w:t>
      </w:r>
      <w:r w:rsidR="00902630" w:rsidRPr="007D1DFE">
        <w:rPr>
          <w:rFonts w:ascii="Times New Roman" w:eastAsia="Times New Roman" w:hAnsi="Times New Roman" w:cs="Times New Roman"/>
          <w:sz w:val="24"/>
          <w:szCs w:val="24"/>
          <w:lang w:eastAsia="it-IT"/>
        </w:rPr>
        <w:t xml:space="preserve">2016-2018 </w:t>
      </w:r>
      <w:r w:rsidRPr="007D1DFE">
        <w:rPr>
          <w:rFonts w:ascii="Times New Roman" w:eastAsia="Times New Roman" w:hAnsi="Times New Roman" w:cs="Times New Roman"/>
          <w:sz w:val="24"/>
          <w:szCs w:val="24"/>
          <w:lang w:eastAsia="it-IT"/>
        </w:rPr>
        <w:t xml:space="preserve">si era provveduto preliminarmente a realizzare una mappatura dei processi e procedimenti di competenza delle diverse strutture </w:t>
      </w:r>
      <w:r w:rsidR="004D7C79" w:rsidRPr="007D1DFE">
        <w:rPr>
          <w:rFonts w:ascii="Times New Roman" w:eastAsia="Times New Roman" w:hAnsi="Times New Roman" w:cs="Times New Roman"/>
          <w:sz w:val="24"/>
          <w:szCs w:val="24"/>
          <w:lang w:eastAsia="it-IT"/>
        </w:rPr>
        <w:t>organizzative</w:t>
      </w:r>
      <w:r w:rsidRPr="007D1DFE">
        <w:rPr>
          <w:rFonts w:ascii="Times New Roman" w:eastAsia="Times New Roman" w:hAnsi="Times New Roman" w:cs="Times New Roman"/>
          <w:sz w:val="24"/>
          <w:szCs w:val="24"/>
          <w:lang w:eastAsia="it-IT"/>
        </w:rPr>
        <w:t xml:space="preserve"> dell’Amministrazione, in base alla loro riconducibilità a macro aree di materie.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passo successivo era stato quello di descrivere in un’apposita tabella (Allegato 3 </w:t>
      </w:r>
      <w:r w:rsidR="00015F41" w:rsidRPr="007D1DFE">
        <w:rPr>
          <w:rFonts w:ascii="Times New Roman" w:eastAsia="Times New Roman" w:hAnsi="Times New Roman" w:cs="Times New Roman"/>
          <w:sz w:val="24"/>
          <w:szCs w:val="24"/>
          <w:lang w:eastAsia="it-IT"/>
        </w:rPr>
        <w:t xml:space="preserve">sempre </w:t>
      </w:r>
      <w:r w:rsidRPr="007D1DFE">
        <w:rPr>
          <w:rFonts w:ascii="Times New Roman" w:eastAsia="Times New Roman" w:hAnsi="Times New Roman" w:cs="Times New Roman"/>
          <w:sz w:val="24"/>
          <w:szCs w:val="24"/>
          <w:lang w:eastAsia="it-IT"/>
        </w:rPr>
        <w:t xml:space="preserve">al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2016-2018) lo sviluppo tipico di detti processi, a partire dal loro atto iniziale, con l’indicazione dei diversi uffici o soggetti che ricoprivano un ruolo nelle diverse fasi dell’iter procedurale, fino all’atto conclusivo.</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L’attività di analisi di cui sopra aveva quindi consentito di pervenire alla redazione della tabella concernente la “mappatura dei processi a rischio” (Allegato 4</w:t>
      </w:r>
      <w:r w:rsidRPr="007D1DFE">
        <w:t xml:space="preserve"> </w:t>
      </w:r>
      <w:r w:rsidRPr="007D1DFE">
        <w:rPr>
          <w:rFonts w:ascii="Times New Roman" w:eastAsia="Times New Roman" w:hAnsi="Times New Roman" w:cs="Times New Roman"/>
          <w:sz w:val="24"/>
          <w:szCs w:val="24"/>
          <w:lang w:eastAsia="it-IT"/>
        </w:rPr>
        <w:t xml:space="preserve">al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2016-2018). Tale tabella</w:t>
      </w:r>
      <w:r w:rsidR="004D7C79"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individuava:</w:t>
      </w:r>
    </w:p>
    <w:p w:rsidR="009903C3" w:rsidRPr="007D1DFE" w:rsidRDefault="009903C3"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 xml:space="preserve">l’area di rischio, intesa quale </w:t>
      </w:r>
      <w:r w:rsidR="003701C7" w:rsidRPr="007D1DFE">
        <w:rPr>
          <w:rFonts w:ascii="Times New Roman" w:eastAsia="Times New Roman" w:hAnsi="Times New Roman" w:cs="Times New Roman"/>
          <w:sz w:val="24"/>
          <w:szCs w:val="24"/>
          <w:lang w:eastAsia="it-IT"/>
        </w:rPr>
        <w:t>ambito in cui si colloca lo specifico processo</w:t>
      </w:r>
      <w:r w:rsidRPr="007D1DFE">
        <w:rPr>
          <w:rFonts w:ascii="Times New Roman" w:eastAsia="Times New Roman" w:hAnsi="Times New Roman" w:cs="Times New Roman"/>
          <w:sz w:val="24"/>
          <w:szCs w:val="24"/>
          <w:lang w:eastAsia="it-IT"/>
        </w:rPr>
        <w:t>;</w:t>
      </w:r>
    </w:p>
    <w:p w:rsidR="009903C3" w:rsidRPr="007D1DFE" w:rsidRDefault="009903C3"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lo specifico processo, attraverso una descrizione sintetica della sua tipologia;</w:t>
      </w:r>
    </w:p>
    <w:p w:rsidR="009903C3" w:rsidRPr="007D1DFE" w:rsidRDefault="009903C3"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l’attività sensibile, identificabile con quelle attività </w:t>
      </w:r>
      <w:r w:rsidR="007D35FC" w:rsidRPr="007D1DFE">
        <w:rPr>
          <w:rFonts w:ascii="Times New Roman" w:eastAsia="Times New Roman" w:hAnsi="Times New Roman" w:cs="Times New Roman"/>
          <w:sz w:val="24"/>
          <w:szCs w:val="24"/>
          <w:lang w:eastAsia="it-IT"/>
        </w:rPr>
        <w:t xml:space="preserve">del processo </w:t>
      </w:r>
      <w:r w:rsidRPr="007D1DFE">
        <w:rPr>
          <w:rFonts w:ascii="Times New Roman" w:eastAsia="Times New Roman" w:hAnsi="Times New Roman" w:cs="Times New Roman"/>
          <w:sz w:val="24"/>
          <w:szCs w:val="24"/>
          <w:lang w:eastAsia="it-IT"/>
        </w:rPr>
        <w:t>o fasi del</w:t>
      </w:r>
      <w:r w:rsidR="007D35FC" w:rsidRPr="007D1DFE">
        <w:rPr>
          <w:rFonts w:ascii="Times New Roman" w:eastAsia="Times New Roman" w:hAnsi="Times New Roman" w:cs="Times New Roman"/>
          <w:sz w:val="24"/>
          <w:szCs w:val="24"/>
          <w:lang w:eastAsia="it-IT"/>
        </w:rPr>
        <w:t xml:space="preserve">lo stesso </w:t>
      </w:r>
      <w:r w:rsidRPr="007D1DFE">
        <w:rPr>
          <w:rFonts w:ascii="Times New Roman" w:eastAsia="Times New Roman" w:hAnsi="Times New Roman" w:cs="Times New Roman"/>
          <w:sz w:val="24"/>
          <w:szCs w:val="24"/>
          <w:lang w:eastAsia="it-IT"/>
        </w:rPr>
        <w:t xml:space="preserve"> in cui si possono annidare rischi di corruzione;</w:t>
      </w:r>
    </w:p>
    <w:p w:rsidR="009903C3" w:rsidRPr="007D1DFE" w:rsidRDefault="009903C3"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rischio potenziale, cioè il rischio insito in una irregolare</w:t>
      </w:r>
      <w:r w:rsidR="007D35FC" w:rsidRPr="007D1DFE">
        <w:rPr>
          <w:rFonts w:ascii="Times New Roman" w:eastAsia="Times New Roman" w:hAnsi="Times New Roman" w:cs="Times New Roman"/>
          <w:sz w:val="24"/>
          <w:szCs w:val="24"/>
          <w:lang w:eastAsia="it-IT"/>
        </w:rPr>
        <w:t>/illecita</w:t>
      </w:r>
      <w:r w:rsidRPr="007D1DFE">
        <w:rPr>
          <w:rFonts w:ascii="Times New Roman" w:eastAsia="Times New Roman" w:hAnsi="Times New Roman" w:cs="Times New Roman"/>
          <w:sz w:val="24"/>
          <w:szCs w:val="24"/>
          <w:lang w:eastAsia="it-IT"/>
        </w:rPr>
        <w:t xml:space="preserve"> condotta rispetto allo svolgimento dell’attività sensibile;</w:t>
      </w:r>
    </w:p>
    <w:p w:rsidR="009903C3" w:rsidRPr="007D1DFE" w:rsidRDefault="009903C3"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le misura di prevenzione, ossia que</w:t>
      </w:r>
      <w:r w:rsidR="007D35FC" w:rsidRPr="007D1DFE">
        <w:rPr>
          <w:rFonts w:ascii="Times New Roman" w:eastAsia="Times New Roman" w:hAnsi="Times New Roman" w:cs="Times New Roman"/>
          <w:sz w:val="24"/>
          <w:szCs w:val="24"/>
          <w:lang w:eastAsia="it-IT"/>
        </w:rPr>
        <w:t xml:space="preserve">gli strumenti di natura tecnica ed organizzativa funzionali a prevenire o quanto meno a ridurre al minimo le </w:t>
      </w:r>
      <w:r w:rsidRPr="007D1DFE">
        <w:rPr>
          <w:rFonts w:ascii="Times New Roman" w:eastAsia="Times New Roman" w:hAnsi="Times New Roman" w:cs="Times New Roman"/>
          <w:sz w:val="24"/>
          <w:szCs w:val="24"/>
          <w:lang w:eastAsia="it-IT"/>
        </w:rPr>
        <w:t>possibilità di eventi di corruzione;</w:t>
      </w:r>
    </w:p>
    <w:p w:rsidR="009903C3" w:rsidRPr="007D1DFE" w:rsidRDefault="009903C3"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livello di rischio correlato al processo</w:t>
      </w:r>
      <w:r w:rsidR="007D35FC" w:rsidRPr="007D1DFE">
        <w:rPr>
          <w:rFonts w:ascii="Times New Roman" w:eastAsia="Times New Roman" w:hAnsi="Times New Roman" w:cs="Times New Roman"/>
          <w:sz w:val="24"/>
          <w:szCs w:val="24"/>
          <w:lang w:eastAsia="it-IT"/>
        </w:rPr>
        <w:t xml:space="preserve"> o  a fasi dello stesso, quantificato sulla base d</w:t>
      </w:r>
      <w:r w:rsidRPr="007D1DFE">
        <w:rPr>
          <w:rFonts w:ascii="Times New Roman" w:eastAsia="Times New Roman" w:hAnsi="Times New Roman" w:cs="Times New Roman"/>
          <w:sz w:val="24"/>
          <w:szCs w:val="24"/>
          <w:lang w:eastAsia="it-IT"/>
        </w:rPr>
        <w:t xml:space="preserve">i indicatori relativi alla probabilità che l’evento rischioso si verifichi e sull’impatto che esso può avere sotto l’aspetto economico, organizzativo e di immagine, secondo la metodologia di cui all’allegato 5 </w:t>
      </w:r>
      <w:r w:rsidR="007D35FC" w:rsidRPr="007D1DFE">
        <w:rPr>
          <w:rFonts w:ascii="Times New Roman" w:eastAsia="Times New Roman" w:hAnsi="Times New Roman" w:cs="Times New Roman"/>
          <w:sz w:val="24"/>
          <w:szCs w:val="24"/>
          <w:lang w:eastAsia="it-IT"/>
        </w:rPr>
        <w:t>al</w:t>
      </w:r>
      <w:r w:rsidRPr="007D1DFE">
        <w:rPr>
          <w:rFonts w:ascii="Times New Roman" w:eastAsia="Times New Roman" w:hAnsi="Times New Roman" w:cs="Times New Roman"/>
          <w:sz w:val="24"/>
          <w:szCs w:val="24"/>
          <w:lang w:eastAsia="it-IT"/>
        </w:rPr>
        <w:t xml:space="preserve"> Piano Nazionale Anticorruzione</w:t>
      </w:r>
      <w:r w:rsidR="007D35FC"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termine entro il quale la misura di prevenzione, qualora allo stato non risulti ancora messa in atto (ovvero </w:t>
      </w:r>
      <w:r w:rsidR="007D35FC" w:rsidRPr="007D1DFE">
        <w:rPr>
          <w:rFonts w:ascii="Times New Roman" w:eastAsia="Times New Roman" w:hAnsi="Times New Roman" w:cs="Times New Roman"/>
          <w:sz w:val="24"/>
          <w:szCs w:val="24"/>
          <w:lang w:eastAsia="it-IT"/>
        </w:rPr>
        <w:t xml:space="preserve">lo sia </w:t>
      </w:r>
      <w:r w:rsidRPr="007D1DFE">
        <w:rPr>
          <w:rFonts w:ascii="Times New Roman" w:eastAsia="Times New Roman" w:hAnsi="Times New Roman" w:cs="Times New Roman"/>
          <w:sz w:val="24"/>
          <w:szCs w:val="24"/>
          <w:lang w:eastAsia="it-IT"/>
        </w:rPr>
        <w:t xml:space="preserve">solo parzialmente), debba essere  </w:t>
      </w:r>
      <w:r w:rsidR="007D35FC" w:rsidRPr="007D1DFE">
        <w:rPr>
          <w:rFonts w:ascii="Times New Roman" w:eastAsia="Times New Roman" w:hAnsi="Times New Roman" w:cs="Times New Roman"/>
          <w:sz w:val="24"/>
          <w:szCs w:val="24"/>
          <w:lang w:eastAsia="it-IT"/>
        </w:rPr>
        <w:t>attuata</w:t>
      </w:r>
      <w:r w:rsidRPr="007D1DFE">
        <w:rPr>
          <w:rFonts w:ascii="Times New Roman" w:eastAsia="Times New Roman" w:hAnsi="Times New Roman" w:cs="Times New Roman"/>
          <w:sz w:val="24"/>
          <w:szCs w:val="24"/>
          <w:lang w:eastAsia="it-IT"/>
        </w:rPr>
        <w:t>;</w:t>
      </w:r>
    </w:p>
    <w:p w:rsidR="009903C3" w:rsidRPr="007D1DFE" w:rsidRDefault="00924062" w:rsidP="007D1DFE">
      <w:pPr>
        <w:numPr>
          <w:ilvl w:val="0"/>
          <w:numId w:val="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responsabile della struttura </w:t>
      </w:r>
      <w:r w:rsidR="009903C3" w:rsidRPr="007D1DFE">
        <w:rPr>
          <w:rFonts w:ascii="Times New Roman" w:eastAsia="Times New Roman" w:hAnsi="Times New Roman" w:cs="Times New Roman"/>
          <w:sz w:val="24"/>
          <w:szCs w:val="24"/>
          <w:lang w:eastAsia="it-IT"/>
        </w:rPr>
        <w:t>competente ad attuare la misura.</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270DA6"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 </w:t>
      </w:r>
      <w:r w:rsidR="00924062" w:rsidRPr="007D1DFE">
        <w:rPr>
          <w:rFonts w:ascii="Times New Roman" w:eastAsia="Times New Roman" w:hAnsi="Times New Roman" w:cs="Times New Roman"/>
          <w:sz w:val="24"/>
          <w:szCs w:val="24"/>
          <w:lang w:eastAsia="it-IT"/>
        </w:rPr>
        <w:t xml:space="preserve">Il presente </w:t>
      </w:r>
      <w:r w:rsidR="002775F4" w:rsidRPr="007D1DFE">
        <w:rPr>
          <w:rFonts w:ascii="Times New Roman" w:eastAsia="Times New Roman" w:hAnsi="Times New Roman" w:cs="Times New Roman"/>
          <w:sz w:val="24"/>
          <w:szCs w:val="24"/>
          <w:lang w:eastAsia="it-IT"/>
        </w:rPr>
        <w:t xml:space="preserve">aggiornamento </w:t>
      </w:r>
      <w:r w:rsidR="00924062" w:rsidRPr="007D1DFE">
        <w:rPr>
          <w:rFonts w:ascii="Times New Roman" w:eastAsia="Times New Roman" w:hAnsi="Times New Roman" w:cs="Times New Roman"/>
          <w:sz w:val="24"/>
          <w:szCs w:val="24"/>
          <w:lang w:eastAsia="it-IT"/>
        </w:rPr>
        <w:t xml:space="preserve">del PTPC </w:t>
      </w:r>
      <w:r w:rsidR="002775F4" w:rsidRPr="007D1DFE">
        <w:rPr>
          <w:rFonts w:ascii="Times New Roman" w:eastAsia="Times New Roman" w:hAnsi="Times New Roman" w:cs="Times New Roman"/>
          <w:sz w:val="24"/>
          <w:szCs w:val="24"/>
          <w:lang w:eastAsia="it-IT"/>
        </w:rPr>
        <w:t xml:space="preserve">riproduce lo sviluppo analitico dei </w:t>
      </w:r>
      <w:r w:rsidR="00924062" w:rsidRPr="007D1DFE">
        <w:rPr>
          <w:rFonts w:ascii="Times New Roman" w:eastAsia="Times New Roman" w:hAnsi="Times New Roman" w:cs="Times New Roman"/>
          <w:sz w:val="24"/>
          <w:szCs w:val="24"/>
          <w:lang w:eastAsia="it-IT"/>
        </w:rPr>
        <w:t xml:space="preserve">singoli </w:t>
      </w:r>
      <w:r w:rsidR="002775F4" w:rsidRPr="007D1DFE">
        <w:rPr>
          <w:rFonts w:ascii="Times New Roman" w:eastAsia="Times New Roman" w:hAnsi="Times New Roman" w:cs="Times New Roman"/>
          <w:sz w:val="24"/>
          <w:szCs w:val="24"/>
          <w:lang w:eastAsia="it-IT"/>
        </w:rPr>
        <w:t xml:space="preserve">processi </w:t>
      </w:r>
      <w:r w:rsidR="008628A7" w:rsidRPr="007D1DFE">
        <w:rPr>
          <w:rFonts w:ascii="Times New Roman" w:eastAsia="Times New Roman" w:hAnsi="Times New Roman" w:cs="Times New Roman"/>
          <w:sz w:val="24"/>
          <w:szCs w:val="24"/>
          <w:lang w:eastAsia="it-IT"/>
        </w:rPr>
        <w:t>(All</w:t>
      </w:r>
      <w:r w:rsidR="00756DA4" w:rsidRPr="007D1DFE">
        <w:rPr>
          <w:rFonts w:ascii="Times New Roman" w:eastAsia="Times New Roman" w:hAnsi="Times New Roman" w:cs="Times New Roman"/>
          <w:sz w:val="24"/>
          <w:szCs w:val="24"/>
          <w:lang w:eastAsia="it-IT"/>
        </w:rPr>
        <w:t>egato</w:t>
      </w:r>
      <w:r w:rsidR="008628A7" w:rsidRPr="007D1DFE">
        <w:rPr>
          <w:rFonts w:ascii="Times New Roman" w:eastAsia="Times New Roman" w:hAnsi="Times New Roman" w:cs="Times New Roman"/>
          <w:sz w:val="24"/>
          <w:szCs w:val="24"/>
          <w:lang w:eastAsia="it-IT"/>
        </w:rPr>
        <w:t xml:space="preserve"> 3)</w:t>
      </w:r>
      <w:r w:rsidR="00924062" w:rsidRPr="007D1DFE">
        <w:rPr>
          <w:rFonts w:ascii="Times New Roman" w:eastAsia="Times New Roman" w:hAnsi="Times New Roman" w:cs="Times New Roman"/>
          <w:sz w:val="24"/>
          <w:szCs w:val="24"/>
          <w:lang w:eastAsia="it-IT"/>
        </w:rPr>
        <w:t xml:space="preserve"> </w:t>
      </w:r>
      <w:r w:rsidR="00756DA4" w:rsidRPr="007D1DFE">
        <w:rPr>
          <w:rFonts w:ascii="Times New Roman" w:eastAsia="Times New Roman" w:hAnsi="Times New Roman" w:cs="Times New Roman"/>
          <w:sz w:val="24"/>
          <w:szCs w:val="24"/>
          <w:lang w:eastAsia="it-IT"/>
        </w:rPr>
        <w:t xml:space="preserve">ma, tenuto conto </w:t>
      </w:r>
      <w:r w:rsidR="00924062" w:rsidRPr="007D1DFE">
        <w:rPr>
          <w:rFonts w:ascii="Times New Roman" w:eastAsia="Times New Roman" w:hAnsi="Times New Roman" w:cs="Times New Roman"/>
          <w:sz w:val="24"/>
          <w:szCs w:val="24"/>
          <w:lang w:eastAsia="it-IT"/>
        </w:rPr>
        <w:t>che</w:t>
      </w:r>
      <w:r w:rsidR="00D356B2" w:rsidRPr="007D1DFE">
        <w:rPr>
          <w:rFonts w:ascii="Times New Roman" w:eastAsia="Times New Roman" w:hAnsi="Times New Roman" w:cs="Times New Roman"/>
          <w:sz w:val="24"/>
          <w:szCs w:val="24"/>
          <w:lang w:eastAsia="it-IT"/>
        </w:rPr>
        <w:t xml:space="preserve"> la </w:t>
      </w:r>
      <w:r w:rsidR="00924062" w:rsidRPr="007D1DFE">
        <w:rPr>
          <w:rFonts w:ascii="Times New Roman" w:eastAsia="Times New Roman" w:hAnsi="Times New Roman" w:cs="Times New Roman"/>
          <w:sz w:val="24"/>
          <w:szCs w:val="24"/>
          <w:lang w:eastAsia="it-IT"/>
        </w:rPr>
        <w:t xml:space="preserve">ricordata </w:t>
      </w:r>
      <w:r w:rsidR="00D356B2" w:rsidRPr="007D1DFE">
        <w:rPr>
          <w:rFonts w:ascii="Times New Roman" w:eastAsia="Times New Roman" w:hAnsi="Times New Roman" w:cs="Times New Roman"/>
          <w:sz w:val="24"/>
          <w:szCs w:val="24"/>
          <w:lang w:eastAsia="it-IT"/>
        </w:rPr>
        <w:t>recent</w:t>
      </w:r>
      <w:r w:rsidR="00AD606F" w:rsidRPr="007D1DFE">
        <w:rPr>
          <w:rFonts w:ascii="Times New Roman" w:eastAsia="Times New Roman" w:hAnsi="Times New Roman" w:cs="Times New Roman"/>
          <w:sz w:val="24"/>
          <w:szCs w:val="24"/>
          <w:lang w:eastAsia="it-IT"/>
        </w:rPr>
        <w:t>issima</w:t>
      </w:r>
      <w:r w:rsidR="00D356B2" w:rsidRPr="007D1DFE">
        <w:rPr>
          <w:rFonts w:ascii="Times New Roman" w:eastAsia="Times New Roman" w:hAnsi="Times New Roman" w:cs="Times New Roman"/>
          <w:sz w:val="24"/>
          <w:szCs w:val="24"/>
          <w:lang w:eastAsia="it-IT"/>
        </w:rPr>
        <w:t xml:space="preserve"> </w:t>
      </w:r>
      <w:r w:rsidR="00924062" w:rsidRPr="007D1DFE">
        <w:rPr>
          <w:rFonts w:ascii="Times New Roman" w:eastAsia="Times New Roman" w:hAnsi="Times New Roman" w:cs="Times New Roman"/>
          <w:sz w:val="24"/>
          <w:szCs w:val="24"/>
          <w:lang w:eastAsia="it-IT"/>
        </w:rPr>
        <w:t xml:space="preserve">rivisitazione dell’architettura organizzativa del Consiglio regionale in termini di strutture apicali </w:t>
      </w:r>
      <w:r w:rsidR="00D356B2" w:rsidRPr="007D1DFE">
        <w:rPr>
          <w:rFonts w:ascii="Times New Roman" w:eastAsia="Times New Roman" w:hAnsi="Times New Roman" w:cs="Times New Roman"/>
          <w:sz w:val="24"/>
          <w:szCs w:val="24"/>
          <w:lang w:eastAsia="it-IT"/>
        </w:rPr>
        <w:t>(deliberazione dell’Ufficio di presidenza n. 172/2018) e l</w:t>
      </w:r>
      <w:r w:rsidR="00924062" w:rsidRPr="007D1DFE">
        <w:rPr>
          <w:rFonts w:ascii="Times New Roman" w:eastAsia="Times New Roman" w:hAnsi="Times New Roman" w:cs="Times New Roman"/>
          <w:sz w:val="24"/>
          <w:szCs w:val="24"/>
          <w:lang w:eastAsia="it-IT"/>
        </w:rPr>
        <w:t xml:space="preserve">a </w:t>
      </w:r>
      <w:r w:rsidR="00D356B2" w:rsidRPr="007D1DFE">
        <w:rPr>
          <w:rFonts w:ascii="Times New Roman" w:eastAsia="Times New Roman" w:hAnsi="Times New Roman" w:cs="Times New Roman"/>
          <w:sz w:val="24"/>
          <w:szCs w:val="24"/>
          <w:lang w:eastAsia="it-IT"/>
        </w:rPr>
        <w:t xml:space="preserve">successiva e </w:t>
      </w:r>
      <w:r w:rsidR="00AD606F" w:rsidRPr="007D1DFE">
        <w:rPr>
          <w:rFonts w:ascii="Times New Roman" w:eastAsia="Times New Roman" w:hAnsi="Times New Roman" w:cs="Times New Roman"/>
          <w:sz w:val="24"/>
          <w:szCs w:val="24"/>
          <w:lang w:eastAsia="it-IT"/>
        </w:rPr>
        <w:t>conseq</w:t>
      </w:r>
      <w:r w:rsidR="00924062" w:rsidRPr="007D1DFE">
        <w:rPr>
          <w:rFonts w:ascii="Times New Roman" w:eastAsia="Times New Roman" w:hAnsi="Times New Roman" w:cs="Times New Roman"/>
          <w:sz w:val="24"/>
          <w:szCs w:val="24"/>
          <w:lang w:eastAsia="it-IT"/>
        </w:rPr>
        <w:t xml:space="preserve">uenziale ridefinizione </w:t>
      </w:r>
      <w:r w:rsidR="00D356B2" w:rsidRPr="007D1DFE">
        <w:rPr>
          <w:rFonts w:ascii="Times New Roman" w:eastAsia="Times New Roman" w:hAnsi="Times New Roman" w:cs="Times New Roman"/>
          <w:sz w:val="24"/>
          <w:szCs w:val="24"/>
          <w:lang w:eastAsia="it-IT"/>
        </w:rPr>
        <w:t>delle strutture incardinate nelle stesse e delle loro competenze (determinazione del S</w:t>
      </w:r>
      <w:r w:rsidR="00756DA4" w:rsidRPr="007D1DFE">
        <w:rPr>
          <w:rFonts w:ascii="Times New Roman" w:eastAsia="Times New Roman" w:hAnsi="Times New Roman" w:cs="Times New Roman"/>
          <w:sz w:val="24"/>
          <w:szCs w:val="24"/>
          <w:lang w:eastAsia="it-IT"/>
        </w:rPr>
        <w:t>egretario generale n. 777/2018)</w:t>
      </w:r>
      <w:r w:rsidR="00D356B2" w:rsidRPr="007D1DFE">
        <w:rPr>
          <w:rFonts w:ascii="Times New Roman" w:eastAsia="Times New Roman" w:hAnsi="Times New Roman" w:cs="Times New Roman"/>
          <w:sz w:val="24"/>
          <w:szCs w:val="24"/>
          <w:lang w:eastAsia="it-IT"/>
        </w:rPr>
        <w:t xml:space="preserve"> implica</w:t>
      </w:r>
      <w:r w:rsidR="00AD606F" w:rsidRPr="007D1DFE">
        <w:rPr>
          <w:rFonts w:ascii="Times New Roman" w:eastAsia="Times New Roman" w:hAnsi="Times New Roman" w:cs="Times New Roman"/>
          <w:sz w:val="24"/>
          <w:szCs w:val="24"/>
          <w:lang w:eastAsia="it-IT"/>
        </w:rPr>
        <w:t>no</w:t>
      </w:r>
      <w:r w:rsidR="00D356B2" w:rsidRPr="007D1DFE">
        <w:rPr>
          <w:rFonts w:ascii="Times New Roman" w:eastAsia="Times New Roman" w:hAnsi="Times New Roman" w:cs="Times New Roman"/>
          <w:sz w:val="24"/>
          <w:szCs w:val="24"/>
          <w:lang w:eastAsia="it-IT"/>
        </w:rPr>
        <w:t xml:space="preserve"> </w:t>
      </w:r>
      <w:r w:rsidR="00AD606F" w:rsidRPr="007D1DFE">
        <w:rPr>
          <w:rFonts w:ascii="Times New Roman" w:eastAsia="Times New Roman" w:hAnsi="Times New Roman" w:cs="Times New Roman"/>
          <w:sz w:val="24"/>
          <w:szCs w:val="24"/>
          <w:lang w:eastAsia="it-IT"/>
        </w:rPr>
        <w:t xml:space="preserve">inevitabilmente - </w:t>
      </w:r>
      <w:r w:rsidR="00D356B2" w:rsidRPr="007D1DFE">
        <w:rPr>
          <w:rFonts w:ascii="Times New Roman" w:eastAsia="Times New Roman" w:hAnsi="Times New Roman" w:cs="Times New Roman"/>
          <w:sz w:val="24"/>
          <w:szCs w:val="24"/>
          <w:lang w:eastAsia="it-IT"/>
        </w:rPr>
        <w:t>in questa fase di passaggio dal vecchio</w:t>
      </w:r>
      <w:r w:rsidR="00AD606F" w:rsidRPr="007D1DFE">
        <w:rPr>
          <w:rFonts w:ascii="Times New Roman" w:eastAsia="Times New Roman" w:hAnsi="Times New Roman" w:cs="Times New Roman"/>
          <w:sz w:val="24"/>
          <w:szCs w:val="24"/>
          <w:lang w:eastAsia="it-IT"/>
        </w:rPr>
        <w:t xml:space="preserve"> al nuovo assetto organizzativo </w:t>
      </w:r>
      <w:r w:rsidR="00756DA4" w:rsidRPr="007D1DFE">
        <w:rPr>
          <w:rFonts w:ascii="Times New Roman" w:eastAsia="Times New Roman" w:hAnsi="Times New Roman" w:cs="Times New Roman"/>
          <w:sz w:val="24"/>
          <w:szCs w:val="24"/>
          <w:lang w:eastAsia="it-IT"/>
        </w:rPr>
        <w:t>-</w:t>
      </w:r>
      <w:r w:rsidR="00AD606F" w:rsidRPr="007D1DFE">
        <w:rPr>
          <w:rFonts w:ascii="Times New Roman" w:eastAsia="Times New Roman" w:hAnsi="Times New Roman" w:cs="Times New Roman"/>
          <w:sz w:val="24"/>
          <w:szCs w:val="24"/>
          <w:lang w:eastAsia="it-IT"/>
        </w:rPr>
        <w:t xml:space="preserve"> una </w:t>
      </w:r>
      <w:r w:rsidR="00D356B2" w:rsidRPr="007D1DFE">
        <w:rPr>
          <w:rFonts w:ascii="Times New Roman" w:eastAsia="Times New Roman" w:hAnsi="Times New Roman" w:cs="Times New Roman"/>
          <w:sz w:val="24"/>
          <w:szCs w:val="24"/>
          <w:lang w:eastAsia="it-IT"/>
        </w:rPr>
        <w:t>revisione</w:t>
      </w:r>
      <w:r w:rsidR="00D106ED" w:rsidRPr="007D1DFE">
        <w:rPr>
          <w:rFonts w:ascii="Times New Roman" w:eastAsia="Times New Roman" w:hAnsi="Times New Roman" w:cs="Times New Roman"/>
          <w:sz w:val="24"/>
          <w:szCs w:val="24"/>
          <w:lang w:eastAsia="it-IT"/>
        </w:rPr>
        <w:t xml:space="preserve">, coerente con i nuovi organigramma e </w:t>
      </w:r>
      <w:proofErr w:type="spellStart"/>
      <w:r w:rsidR="00D106ED" w:rsidRPr="007D1DFE">
        <w:rPr>
          <w:rFonts w:ascii="Times New Roman" w:eastAsia="Times New Roman" w:hAnsi="Times New Roman" w:cs="Times New Roman"/>
          <w:sz w:val="24"/>
          <w:szCs w:val="24"/>
          <w:lang w:eastAsia="it-IT"/>
        </w:rPr>
        <w:t>funzionigramma</w:t>
      </w:r>
      <w:proofErr w:type="spellEnd"/>
      <w:r w:rsidR="00D106ED" w:rsidRPr="007D1DFE">
        <w:rPr>
          <w:rFonts w:ascii="Times New Roman" w:eastAsia="Times New Roman" w:hAnsi="Times New Roman" w:cs="Times New Roman"/>
          <w:sz w:val="24"/>
          <w:szCs w:val="24"/>
          <w:lang w:eastAsia="it-IT"/>
        </w:rPr>
        <w:t>,</w:t>
      </w:r>
      <w:r w:rsidR="00D356B2" w:rsidRPr="007D1DFE">
        <w:rPr>
          <w:rFonts w:ascii="Times New Roman" w:eastAsia="Times New Roman" w:hAnsi="Times New Roman" w:cs="Times New Roman"/>
          <w:sz w:val="24"/>
          <w:szCs w:val="24"/>
          <w:lang w:eastAsia="it-IT"/>
        </w:rPr>
        <w:t xml:space="preserve"> </w:t>
      </w:r>
      <w:r w:rsidR="00AD606F" w:rsidRPr="007D1DFE">
        <w:rPr>
          <w:rFonts w:ascii="Times New Roman" w:eastAsia="Times New Roman" w:hAnsi="Times New Roman" w:cs="Times New Roman"/>
          <w:sz w:val="24"/>
          <w:szCs w:val="24"/>
          <w:lang w:eastAsia="it-IT"/>
        </w:rPr>
        <w:t>de</w:t>
      </w:r>
      <w:r w:rsidR="00D106ED" w:rsidRPr="007D1DFE">
        <w:rPr>
          <w:rFonts w:ascii="Times New Roman" w:eastAsia="Times New Roman" w:hAnsi="Times New Roman" w:cs="Times New Roman"/>
          <w:sz w:val="24"/>
          <w:szCs w:val="24"/>
          <w:lang w:eastAsia="it-IT"/>
        </w:rPr>
        <w:t>lla rappresentazione grafico-analitica de</w:t>
      </w:r>
      <w:r w:rsidR="00AD606F" w:rsidRPr="007D1DFE">
        <w:rPr>
          <w:rFonts w:ascii="Times New Roman" w:eastAsia="Times New Roman" w:hAnsi="Times New Roman" w:cs="Times New Roman"/>
          <w:sz w:val="24"/>
          <w:szCs w:val="24"/>
          <w:lang w:eastAsia="it-IT"/>
        </w:rPr>
        <w:t>i medesimi</w:t>
      </w:r>
      <w:r w:rsidR="00D356B2" w:rsidRPr="007D1DFE">
        <w:rPr>
          <w:rFonts w:ascii="Times New Roman" w:eastAsia="Times New Roman" w:hAnsi="Times New Roman" w:cs="Times New Roman"/>
          <w:sz w:val="24"/>
          <w:szCs w:val="24"/>
          <w:lang w:eastAsia="it-IT"/>
        </w:rPr>
        <w:t xml:space="preserve"> processi</w:t>
      </w:r>
      <w:r w:rsidR="00D106ED" w:rsidRPr="007D1DFE">
        <w:rPr>
          <w:rFonts w:ascii="Times New Roman" w:eastAsia="Times New Roman" w:hAnsi="Times New Roman" w:cs="Times New Roman"/>
          <w:sz w:val="24"/>
          <w:szCs w:val="24"/>
          <w:lang w:eastAsia="it-IT"/>
        </w:rPr>
        <w:t xml:space="preserve">, </w:t>
      </w:r>
      <w:r w:rsidR="00756DA4" w:rsidRPr="007D1DFE">
        <w:rPr>
          <w:rFonts w:ascii="Times New Roman" w:eastAsia="Times New Roman" w:hAnsi="Times New Roman" w:cs="Times New Roman"/>
          <w:sz w:val="24"/>
          <w:szCs w:val="24"/>
          <w:lang w:eastAsia="it-IT"/>
        </w:rPr>
        <w:t xml:space="preserve">si procederà alla stessa non appena concluso il </w:t>
      </w:r>
      <w:r w:rsidR="00AD606F" w:rsidRPr="007D1DFE">
        <w:rPr>
          <w:rFonts w:ascii="Times New Roman" w:eastAsia="Times New Roman" w:hAnsi="Times New Roman" w:cs="Times New Roman"/>
          <w:sz w:val="24"/>
          <w:szCs w:val="24"/>
          <w:lang w:eastAsia="it-IT"/>
        </w:rPr>
        <w:t>confronto, peraltro già avviato, con i competenti responsabili</w:t>
      </w:r>
      <w:r w:rsidR="008628A7" w:rsidRPr="007D1DFE">
        <w:rPr>
          <w:rFonts w:ascii="Times New Roman" w:eastAsia="Times New Roman" w:hAnsi="Times New Roman" w:cs="Times New Roman"/>
          <w:sz w:val="24"/>
          <w:szCs w:val="24"/>
          <w:lang w:eastAsia="it-IT"/>
        </w:rPr>
        <w:t xml:space="preserve"> </w:t>
      </w:r>
      <w:r w:rsidR="00AD606F" w:rsidRPr="007D1DFE">
        <w:rPr>
          <w:rFonts w:ascii="Times New Roman" w:eastAsia="Times New Roman" w:hAnsi="Times New Roman" w:cs="Times New Roman"/>
          <w:sz w:val="24"/>
          <w:szCs w:val="24"/>
          <w:lang w:eastAsia="it-IT"/>
        </w:rPr>
        <w:t>delle stesse strutture</w:t>
      </w:r>
      <w:r w:rsidR="00D356B2" w:rsidRPr="007D1DFE">
        <w:rPr>
          <w:rFonts w:ascii="Times New Roman" w:eastAsia="Times New Roman" w:hAnsi="Times New Roman" w:cs="Times New Roman"/>
          <w:sz w:val="24"/>
          <w:szCs w:val="24"/>
          <w:lang w:eastAsia="it-IT"/>
        </w:rPr>
        <w:t>.</w:t>
      </w:r>
    </w:p>
    <w:p w:rsidR="00FF4DD4" w:rsidRPr="007D1DFE" w:rsidRDefault="00270DA6" w:rsidP="007D1DFE">
      <w:pPr>
        <w:spacing w:line="240" w:lineRule="auto"/>
        <w:jc w:val="both"/>
        <w:rPr>
          <w:rFonts w:ascii="Times New Roman" w:eastAsia="Times New Roman" w:hAnsi="Times New Roman" w:cs="Times New Roman"/>
          <w:sz w:val="24"/>
          <w:szCs w:val="24"/>
          <w:lang w:eastAsia="it-IT"/>
        </w:rPr>
      </w:pPr>
      <w:proofErr w:type="gramStart"/>
      <w:r w:rsidRPr="007D1DFE">
        <w:rPr>
          <w:rFonts w:ascii="Times New Roman" w:eastAsia="Times New Roman" w:hAnsi="Times New Roman" w:cs="Times New Roman"/>
          <w:sz w:val="24"/>
          <w:szCs w:val="24"/>
          <w:lang w:eastAsia="it-IT"/>
        </w:rPr>
        <w:t>E’</w:t>
      </w:r>
      <w:proofErr w:type="gramEnd"/>
      <w:r w:rsidRPr="007D1DFE">
        <w:rPr>
          <w:rFonts w:ascii="Times New Roman" w:eastAsia="Times New Roman" w:hAnsi="Times New Roman" w:cs="Times New Roman"/>
          <w:sz w:val="24"/>
          <w:szCs w:val="24"/>
          <w:lang w:eastAsia="it-IT"/>
        </w:rPr>
        <w:t xml:space="preserve"> stato </w:t>
      </w:r>
      <w:r w:rsidR="00756DA4" w:rsidRPr="007D1DFE">
        <w:rPr>
          <w:rFonts w:ascii="Times New Roman" w:eastAsia="Times New Roman" w:hAnsi="Times New Roman" w:cs="Times New Roman"/>
          <w:sz w:val="24"/>
          <w:szCs w:val="24"/>
          <w:lang w:eastAsia="it-IT"/>
        </w:rPr>
        <w:t>anche</w:t>
      </w:r>
      <w:r w:rsidRPr="007D1DFE">
        <w:rPr>
          <w:rFonts w:ascii="Times New Roman" w:eastAsia="Times New Roman" w:hAnsi="Times New Roman" w:cs="Times New Roman"/>
          <w:sz w:val="24"/>
          <w:szCs w:val="24"/>
          <w:lang w:eastAsia="it-IT"/>
        </w:rPr>
        <w:t xml:space="preserve"> mantenuto sia il</w:t>
      </w:r>
      <w:r w:rsidR="008628A7" w:rsidRPr="007D1DFE">
        <w:rPr>
          <w:rFonts w:ascii="Times New Roman" w:eastAsia="Times New Roman" w:hAnsi="Times New Roman" w:cs="Times New Roman"/>
          <w:sz w:val="24"/>
          <w:szCs w:val="24"/>
          <w:lang w:eastAsia="it-IT"/>
        </w:rPr>
        <w:t xml:space="preserve"> quadro sintetico dei processi (</w:t>
      </w:r>
      <w:r w:rsidR="00756DA4" w:rsidRPr="007D1DFE">
        <w:rPr>
          <w:rFonts w:ascii="Times New Roman" w:eastAsia="Times New Roman" w:hAnsi="Times New Roman" w:cs="Times New Roman"/>
          <w:sz w:val="24"/>
          <w:szCs w:val="24"/>
          <w:lang w:eastAsia="it-IT"/>
        </w:rPr>
        <w:t>Allegato 2) che</w:t>
      </w:r>
      <w:r w:rsidRPr="007D1DFE">
        <w:rPr>
          <w:rFonts w:ascii="Times New Roman" w:eastAsia="Times New Roman" w:hAnsi="Times New Roman" w:cs="Times New Roman"/>
          <w:sz w:val="24"/>
          <w:szCs w:val="24"/>
          <w:lang w:eastAsia="it-IT"/>
        </w:rPr>
        <w:t xml:space="preserve"> il prospetto delle m</w:t>
      </w:r>
      <w:r w:rsidR="00756DA4" w:rsidRPr="007D1DFE">
        <w:rPr>
          <w:rFonts w:ascii="Times New Roman" w:eastAsia="Times New Roman" w:hAnsi="Times New Roman" w:cs="Times New Roman"/>
          <w:sz w:val="24"/>
          <w:szCs w:val="24"/>
          <w:lang w:eastAsia="it-IT"/>
        </w:rPr>
        <w:t>isure di prevenzione (</w:t>
      </w:r>
      <w:r w:rsidR="00AC7236"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llegato 4</w:t>
      </w:r>
      <w:r w:rsidR="00756DA4" w:rsidRPr="007D1DFE">
        <w:rPr>
          <w:rFonts w:ascii="Times New Roman" w:eastAsia="Times New Roman" w:hAnsi="Times New Roman" w:cs="Times New Roman"/>
          <w:sz w:val="24"/>
          <w:szCs w:val="24"/>
          <w:lang w:eastAsia="it-IT"/>
        </w:rPr>
        <w:t>)</w:t>
      </w:r>
      <w:r w:rsidR="00D106ED"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 xml:space="preserve">2.2. Il </w:t>
      </w:r>
      <w:r w:rsidR="00896E6B" w:rsidRPr="007D1DFE">
        <w:rPr>
          <w:rFonts w:ascii="Times New Roman" w:eastAsia="Times New Roman" w:hAnsi="Times New Roman" w:cs="Times New Roman"/>
          <w:b/>
          <w:sz w:val="24"/>
          <w:szCs w:val="24"/>
          <w:lang w:eastAsia="it-IT"/>
        </w:rPr>
        <w:t>PTPC</w:t>
      </w:r>
      <w:r w:rsidRPr="007D1DFE">
        <w:rPr>
          <w:rFonts w:ascii="Times New Roman" w:eastAsia="Times New Roman" w:hAnsi="Times New Roman" w:cs="Times New Roman"/>
          <w:b/>
          <w:sz w:val="24"/>
          <w:szCs w:val="24"/>
          <w:lang w:eastAsia="it-IT"/>
        </w:rPr>
        <w:t xml:space="preserve"> elemento costitutivo del ciclo di gestione delle prestazioni e dei risultati.</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BE4C08" w:rsidRPr="007D1DFE" w:rsidRDefault="00BE4C08"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Le prescrizioni e, più in generale, i contenuti del presente Piano costituiscono elementi che dovranno essere necessariamente tenuti presenti nella realizzazione e negli aggiornamenti del ciclo integrato delle prestazioni e dei risultati.</w:t>
      </w:r>
    </w:p>
    <w:p w:rsidR="00BE4C08" w:rsidRPr="007D1DFE" w:rsidRDefault="00BE4C08"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Si evidenzia, pertanto, l’esigenza di un coordinamento permanente tra il presente Piano ed il   Piano e la relazione sulle prestazioni e i risultati </w:t>
      </w:r>
      <w:r w:rsidRPr="007D1DFE">
        <w:rPr>
          <w:rFonts w:ascii="Times New Roman" w:eastAsia="Times New Roman" w:hAnsi="Times New Roman" w:cs="Times New Roman"/>
          <w:sz w:val="24"/>
          <w:szCs w:val="24"/>
          <w:vertAlign w:val="superscript"/>
          <w:lang w:eastAsia="it-IT"/>
        </w:rPr>
        <w:footnoteReference w:id="18"/>
      </w:r>
      <w:r w:rsidRPr="007D1DFE">
        <w:rPr>
          <w:rFonts w:ascii="Times New Roman" w:eastAsia="Times New Roman" w:hAnsi="Times New Roman" w:cs="Times New Roman"/>
          <w:sz w:val="24"/>
          <w:szCs w:val="24"/>
          <w:lang w:eastAsia="it-IT"/>
        </w:rPr>
        <w:t xml:space="preserve"> (che per il triennio 2018 </w:t>
      </w:r>
      <w:r w:rsidR="00642BD5"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2020 è stato adottato con deliberazione dell’Ufficio di </w:t>
      </w:r>
      <w:r w:rsidR="00642BD5" w:rsidRPr="007D1DFE">
        <w:rPr>
          <w:rFonts w:ascii="Times New Roman" w:eastAsia="Times New Roman" w:hAnsi="Times New Roman" w:cs="Times New Roman"/>
          <w:sz w:val="24"/>
          <w:szCs w:val="24"/>
          <w:lang w:eastAsia="it-IT"/>
        </w:rPr>
        <w:t>p</w:t>
      </w:r>
      <w:r w:rsidRPr="007D1DFE">
        <w:rPr>
          <w:rFonts w:ascii="Times New Roman" w:eastAsia="Times New Roman" w:hAnsi="Times New Roman" w:cs="Times New Roman"/>
          <w:sz w:val="24"/>
          <w:szCs w:val="24"/>
          <w:lang w:eastAsia="it-IT"/>
        </w:rPr>
        <w:t xml:space="preserve">residenza 9 agosto 2018, n. 119) nonché con il sistema di valutazione di questi ultimi. </w:t>
      </w:r>
    </w:p>
    <w:p w:rsidR="00BE4C08" w:rsidRPr="007D1DFE" w:rsidRDefault="00BE4C08"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 conformità </w:t>
      </w:r>
      <w:r w:rsidR="00DA290E" w:rsidRPr="007D1DFE">
        <w:rPr>
          <w:rFonts w:ascii="Times New Roman" w:eastAsia="Times New Roman" w:hAnsi="Times New Roman" w:cs="Times New Roman"/>
          <w:sz w:val="24"/>
          <w:szCs w:val="24"/>
          <w:lang w:eastAsia="it-IT"/>
        </w:rPr>
        <w:t>con</w:t>
      </w:r>
      <w:r w:rsidRPr="007D1DFE">
        <w:rPr>
          <w:rFonts w:ascii="Times New Roman" w:eastAsia="Times New Roman" w:hAnsi="Times New Roman" w:cs="Times New Roman"/>
          <w:sz w:val="24"/>
          <w:szCs w:val="24"/>
          <w:lang w:eastAsia="it-IT"/>
        </w:rPr>
        <w:t xml:space="preserve"> quanto espressamente previsto nel paragrafo B.1.1.4 dell’Allegato 1 al Piano Nazionale Anticorruzione, d</w:t>
      </w:r>
      <w:r w:rsidR="00DA290E" w:rsidRPr="007D1DFE">
        <w:rPr>
          <w:rFonts w:ascii="Times New Roman" w:eastAsia="Times New Roman" w:hAnsi="Times New Roman" w:cs="Times New Roman"/>
          <w:sz w:val="24"/>
          <w:szCs w:val="24"/>
          <w:lang w:eastAsia="it-IT"/>
        </w:rPr>
        <w:t>evono</w:t>
      </w:r>
      <w:r w:rsidRPr="007D1DFE">
        <w:rPr>
          <w:rFonts w:ascii="Times New Roman" w:eastAsia="Times New Roman" w:hAnsi="Times New Roman" w:cs="Times New Roman"/>
          <w:sz w:val="24"/>
          <w:szCs w:val="24"/>
          <w:lang w:eastAsia="it-IT"/>
        </w:rPr>
        <w:t xml:space="preserve"> essere inserite negli strumenti del ciclo di gestione delle prestazioni e dei risultati, in qualità di obiettivi e di indicatori anticorruzione, le attività svolte dall’Amministrazione per la predisposizione e l’attuazione del presente Piano.</w:t>
      </w:r>
    </w:p>
    <w:p w:rsidR="00BE4C08" w:rsidRPr="007D1DFE" w:rsidRDefault="00BE4C08"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Piano delle prestazioni e dei risultati d</w:t>
      </w:r>
      <w:r w:rsidR="00DA290E" w:rsidRPr="007D1DFE">
        <w:rPr>
          <w:rFonts w:ascii="Times New Roman" w:eastAsia="Times New Roman" w:hAnsi="Times New Roman" w:cs="Times New Roman"/>
          <w:sz w:val="24"/>
          <w:szCs w:val="24"/>
          <w:lang w:eastAsia="it-IT"/>
        </w:rPr>
        <w:t>eve</w:t>
      </w:r>
      <w:r w:rsidRPr="007D1DFE">
        <w:rPr>
          <w:rFonts w:ascii="Times New Roman" w:eastAsia="Times New Roman" w:hAnsi="Times New Roman" w:cs="Times New Roman"/>
          <w:sz w:val="24"/>
          <w:szCs w:val="24"/>
          <w:lang w:eastAsia="it-IT"/>
        </w:rPr>
        <w:t xml:space="preserve"> quindi prevedere:</w:t>
      </w:r>
    </w:p>
    <w:p w:rsidR="00BE4C08" w:rsidRPr="007D1DFE" w:rsidRDefault="00BE4C08" w:rsidP="007D1DFE">
      <w:pPr>
        <w:numPr>
          <w:ilvl w:val="0"/>
          <w:numId w:val="7"/>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per quanto concerne la performance organizzativa di ciascuna struttura dell’Amministrazione, la valutazione, attraverso specifici indicatori - quali ad </w:t>
      </w:r>
      <w:proofErr w:type="spellStart"/>
      <w:r w:rsidRPr="007D1DFE">
        <w:rPr>
          <w:rFonts w:ascii="Times New Roman" w:eastAsia="Times New Roman" w:hAnsi="Times New Roman" w:cs="Times New Roman"/>
          <w:sz w:val="24"/>
          <w:szCs w:val="24"/>
          <w:lang w:eastAsia="it-IT"/>
        </w:rPr>
        <w:t>es</w:t>
      </w:r>
      <w:proofErr w:type="spellEnd"/>
      <w:r w:rsidRPr="007D1DFE">
        <w:rPr>
          <w:rFonts w:ascii="Times New Roman" w:eastAsia="Times New Roman" w:hAnsi="Times New Roman" w:cs="Times New Roman"/>
          <w:sz w:val="24"/>
          <w:szCs w:val="24"/>
          <w:lang w:eastAsia="it-IT"/>
        </w:rPr>
        <w:t xml:space="preserve">.  il rispetto dei tempi per la conclusione di un procedimento o la tempestività per gli </w:t>
      </w:r>
      <w:r w:rsidRPr="007D1DFE">
        <w:rPr>
          <w:rFonts w:ascii="Times New Roman" w:eastAsia="Times New Roman" w:hAnsi="Times New Roman" w:cs="Times New Roman"/>
          <w:sz w:val="24"/>
          <w:szCs w:val="24"/>
          <w:lang w:eastAsia="it-IT"/>
        </w:rPr>
        <w:lastRenderedPageBreak/>
        <w:t>obblighi di pubblicazione di atti, informazioni e documenti di propria competenza - del grado di efficienza in relazione all’attuazione delle misure anticorruzione e per la trasparenza;</w:t>
      </w:r>
    </w:p>
    <w:p w:rsidR="00BE4C08" w:rsidRPr="007D1DFE" w:rsidRDefault="00BE4C08" w:rsidP="007D1DFE">
      <w:pPr>
        <w:numPr>
          <w:ilvl w:val="0"/>
          <w:numId w:val="7"/>
        </w:numPr>
        <w:spacing w:line="240" w:lineRule="auto"/>
        <w:ind w:left="1130" w:firstLine="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analoghe forme di valutazione per le performance individuali di tutti i dirigenti, con </w:t>
      </w:r>
      <w:r w:rsidRPr="007D1DFE">
        <w:rPr>
          <w:rFonts w:ascii="Times New Roman" w:eastAsia="Times New Roman" w:hAnsi="Times New Roman" w:cs="Times New Roman"/>
          <w:sz w:val="24"/>
          <w:szCs w:val="24"/>
          <w:lang w:eastAsia="it-IT"/>
        </w:rPr>
        <w:tab/>
        <w:t xml:space="preserve">i relativi indicatori. </w:t>
      </w:r>
    </w:p>
    <w:p w:rsidR="00BE4C08" w:rsidRPr="007D1DFE" w:rsidRDefault="00BE4C08"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In proposito si evidenzia che il novellato art</w:t>
      </w:r>
      <w:r w:rsidR="0003617A" w:rsidRPr="007D1DFE">
        <w:rPr>
          <w:rFonts w:ascii="Times New Roman" w:eastAsia="Times New Roman" w:hAnsi="Times New Roman" w:cs="Times New Roman"/>
          <w:sz w:val="24"/>
          <w:szCs w:val="24"/>
          <w:lang w:eastAsia="it-IT"/>
        </w:rPr>
        <w:t>icolo</w:t>
      </w:r>
      <w:r w:rsidRPr="007D1DFE">
        <w:rPr>
          <w:rFonts w:ascii="Times New Roman" w:eastAsia="Times New Roman" w:hAnsi="Times New Roman" w:cs="Times New Roman"/>
          <w:sz w:val="24"/>
          <w:szCs w:val="24"/>
          <w:lang w:eastAsia="it-IT"/>
        </w:rPr>
        <w:t xml:space="preserve"> 14 del d.lgs. 33/2013, al comma 1 quater, stabilisce che “</w:t>
      </w:r>
      <w:r w:rsidRPr="007D1DFE">
        <w:rPr>
          <w:rFonts w:ascii="Times New Roman" w:eastAsia="Times New Roman" w:hAnsi="Times New Roman" w:cs="Times New Roman"/>
          <w:i/>
          <w:sz w:val="24"/>
          <w:szCs w:val="24"/>
          <w:lang w:eastAsia="it-IT"/>
        </w:rPr>
        <w:t>Negli atti di conferimento di incarichi dirigenziali e nei relativi contratti sono riportati gli obiettivi di trasparenza, finalizzati a rendere i dati pubblicati di immediata comprensione e consultazione per il cittadino, con particolare riferimento ai dati di bilancio sulle spese e ai costi del personale, da indicare sia in modo aggregato che analitico. Il mancato raggiungimento dei suddetti obiettivi determina responsabilità dirigenziale ai sensi dell’articolo 21 del decreto legislativo 30 marzo 2001, n. 165. Del mancato raggiungimento dei suddetti obiettivi si tiene conto ai fini del conferimento di successivi incarichi</w:t>
      </w:r>
      <w:r w:rsidRPr="007D1DFE">
        <w:rPr>
          <w:rFonts w:ascii="Times New Roman" w:eastAsia="Times New Roman" w:hAnsi="Times New Roman" w:cs="Times New Roman"/>
          <w:sz w:val="24"/>
          <w:szCs w:val="24"/>
          <w:lang w:eastAsia="it-IT"/>
        </w:rPr>
        <w:t xml:space="preserve">.”. </w:t>
      </w:r>
    </w:p>
    <w:p w:rsidR="00BE4C08" w:rsidRPr="007D1DFE" w:rsidRDefault="00BE4C08"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r>
    </w:p>
    <w:p w:rsidR="009903C3" w:rsidRPr="007D1DFE" w:rsidRDefault="009903C3" w:rsidP="007D1DFE">
      <w:pPr>
        <w:autoSpaceDE w:val="0"/>
        <w:autoSpaceDN w:val="0"/>
        <w:adjustRightInd w:val="0"/>
        <w:spacing w:line="240" w:lineRule="auto"/>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2.3. I soggetti coinvolti nella predisposizione, approvazione e attuazione del </w:t>
      </w:r>
      <w:r w:rsidR="00896E6B" w:rsidRPr="007D1DFE">
        <w:rPr>
          <w:rFonts w:ascii="Times New Roman" w:eastAsia="Times New Roman" w:hAnsi="Times New Roman" w:cs="Times New Roman"/>
          <w:b/>
          <w:sz w:val="24"/>
          <w:szCs w:val="24"/>
          <w:lang w:eastAsia="it-IT"/>
        </w:rPr>
        <w:t>PTPC</w:t>
      </w:r>
      <w:r w:rsidRPr="007D1DFE">
        <w:rPr>
          <w:rFonts w:ascii="Times New Roman" w:eastAsia="Times New Roman" w:hAnsi="Times New Roman" w:cs="Times New Roman"/>
          <w:b/>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 soggetti che a vario titolo concorrono </w:t>
      </w:r>
      <w:r w:rsidR="0003617A" w:rsidRPr="007D1DFE">
        <w:rPr>
          <w:rFonts w:ascii="Times New Roman" w:eastAsia="Times New Roman" w:hAnsi="Times New Roman" w:cs="Times New Roman"/>
          <w:sz w:val="24"/>
          <w:szCs w:val="24"/>
          <w:lang w:eastAsia="it-IT"/>
        </w:rPr>
        <w:t>all</w:t>
      </w:r>
      <w:r w:rsidRPr="007D1DFE">
        <w:rPr>
          <w:rFonts w:ascii="Times New Roman" w:eastAsia="Times New Roman" w:hAnsi="Times New Roman" w:cs="Times New Roman"/>
          <w:sz w:val="24"/>
          <w:szCs w:val="24"/>
          <w:lang w:eastAsia="it-IT"/>
        </w:rPr>
        <w:t>a formazione e attuazione del P</w:t>
      </w:r>
      <w:r w:rsidR="0003617A"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del Consiglio regionale sono:</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numPr>
          <w:ilvl w:val="2"/>
          <w:numId w:val="8"/>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 xml:space="preserve">L’Ufficio di </w:t>
      </w:r>
      <w:r w:rsidR="0003617A" w:rsidRPr="007D1DFE">
        <w:rPr>
          <w:rFonts w:ascii="Times New Roman" w:eastAsia="Times New Roman" w:hAnsi="Times New Roman" w:cs="Times New Roman"/>
          <w:b/>
          <w:sz w:val="24"/>
          <w:szCs w:val="24"/>
          <w:lang w:eastAsia="it-IT"/>
        </w:rPr>
        <w:t>p</w:t>
      </w:r>
      <w:r w:rsidRPr="007D1DFE">
        <w:rPr>
          <w:rFonts w:ascii="Times New Roman" w:eastAsia="Times New Roman" w:hAnsi="Times New Roman" w:cs="Times New Roman"/>
          <w:b/>
          <w:sz w:val="24"/>
          <w:szCs w:val="24"/>
          <w:lang w:eastAsia="it-IT"/>
        </w:rPr>
        <w:t>residenza</w:t>
      </w:r>
      <w:r w:rsidRPr="007D1DFE">
        <w:rPr>
          <w:rFonts w:ascii="Times New Roman" w:eastAsia="Times New Roman" w:hAnsi="Times New Roman" w:cs="Times New Roman"/>
          <w:sz w:val="24"/>
          <w:szCs w:val="24"/>
          <w:lang w:eastAsia="it-IT"/>
        </w:rPr>
        <w:t xml:space="preserve">, il quale: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0E5873" w:rsidRPr="007D1DFE" w:rsidRDefault="009903C3" w:rsidP="007D1DFE">
      <w:pPr>
        <w:pStyle w:val="Paragrafoelenco"/>
        <w:numPr>
          <w:ilvl w:val="0"/>
          <w:numId w:val="24"/>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nomina il </w:t>
      </w:r>
      <w:r w:rsidR="0003617A" w:rsidRPr="007D1DFE">
        <w:rPr>
          <w:rFonts w:ascii="Times New Roman" w:eastAsia="Times New Roman" w:hAnsi="Times New Roman" w:cs="Times New Roman"/>
          <w:sz w:val="24"/>
          <w:szCs w:val="24"/>
          <w:lang w:eastAsia="it-IT"/>
        </w:rPr>
        <w:t>RPCT</w:t>
      </w:r>
      <w:r w:rsidRPr="007D1DFE">
        <w:rPr>
          <w:rFonts w:ascii="Times New Roman" w:eastAsia="Times New Roman" w:hAnsi="Times New Roman" w:cs="Times New Roman"/>
          <w:sz w:val="24"/>
          <w:szCs w:val="24"/>
          <w:lang w:eastAsia="it-IT"/>
        </w:rPr>
        <w:t>;</w:t>
      </w:r>
    </w:p>
    <w:p w:rsidR="000E5873" w:rsidRPr="007D1DFE" w:rsidRDefault="009903C3" w:rsidP="007D1DFE">
      <w:pPr>
        <w:pStyle w:val="Paragrafoelenco"/>
        <w:numPr>
          <w:ilvl w:val="0"/>
          <w:numId w:val="24"/>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adotta, secondo la procedura delineata nel paragrafo 5., il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 ovvero i suoi aggiornamenti </w:t>
      </w:r>
      <w:r w:rsidR="0003617A"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nel quale sono delineati gli obiettivi strategici per la prevenzione della corruzione e per assicurare la trasparenza; tra essi, come espressamente disposto </w:t>
      </w:r>
      <w:r w:rsidR="00CA37DE" w:rsidRPr="007D1DFE">
        <w:rPr>
          <w:rFonts w:ascii="Times New Roman" w:eastAsia="Times New Roman" w:hAnsi="Times New Roman" w:cs="Times New Roman"/>
          <w:sz w:val="24"/>
          <w:szCs w:val="24"/>
          <w:lang w:eastAsia="it-IT"/>
        </w:rPr>
        <w:t>dall’</w:t>
      </w:r>
      <w:r w:rsidRPr="007D1DFE">
        <w:rPr>
          <w:rFonts w:ascii="Times New Roman" w:eastAsia="Times New Roman" w:hAnsi="Times New Roman" w:cs="Times New Roman"/>
          <w:sz w:val="24"/>
          <w:szCs w:val="24"/>
          <w:lang w:eastAsia="it-IT"/>
        </w:rPr>
        <w:t>art</w:t>
      </w:r>
      <w:r w:rsidR="0003617A" w:rsidRPr="007D1DFE">
        <w:rPr>
          <w:rFonts w:ascii="Times New Roman" w:eastAsia="Times New Roman" w:hAnsi="Times New Roman" w:cs="Times New Roman"/>
          <w:sz w:val="24"/>
          <w:szCs w:val="24"/>
          <w:lang w:eastAsia="it-IT"/>
        </w:rPr>
        <w:t>icolo</w:t>
      </w:r>
      <w:r w:rsidRPr="007D1DFE">
        <w:rPr>
          <w:rFonts w:ascii="Times New Roman" w:eastAsia="Times New Roman" w:hAnsi="Times New Roman" w:cs="Times New Roman"/>
          <w:sz w:val="24"/>
          <w:szCs w:val="24"/>
          <w:lang w:eastAsia="it-IT"/>
        </w:rPr>
        <w:t xml:space="preserve"> 10, co</w:t>
      </w:r>
      <w:r w:rsidR="0003617A" w:rsidRPr="007D1DFE">
        <w:rPr>
          <w:rFonts w:ascii="Times New Roman" w:eastAsia="Times New Roman" w:hAnsi="Times New Roman" w:cs="Times New Roman"/>
          <w:sz w:val="24"/>
          <w:szCs w:val="24"/>
          <w:lang w:eastAsia="it-IT"/>
        </w:rPr>
        <w:t>mm</w:t>
      </w:r>
      <w:r w:rsidRPr="007D1DFE">
        <w:rPr>
          <w:rFonts w:ascii="Times New Roman" w:eastAsia="Times New Roman" w:hAnsi="Times New Roman" w:cs="Times New Roman"/>
          <w:sz w:val="24"/>
          <w:szCs w:val="24"/>
          <w:lang w:eastAsia="it-IT"/>
        </w:rPr>
        <w:t>a 3 del d.lgs. 33/2013, deve risultare quello di promuovere “</w:t>
      </w:r>
      <w:r w:rsidRPr="007D1DFE">
        <w:rPr>
          <w:rFonts w:ascii="Times New Roman" w:eastAsia="Times New Roman" w:hAnsi="Times New Roman" w:cs="Times New Roman"/>
          <w:i/>
          <w:sz w:val="24"/>
          <w:szCs w:val="24"/>
          <w:lang w:eastAsia="it-IT"/>
        </w:rPr>
        <w:t>maggiori livelli di trasparenza</w:t>
      </w:r>
      <w:r w:rsidRPr="007D1DFE">
        <w:rPr>
          <w:rFonts w:ascii="Times New Roman" w:eastAsia="Times New Roman" w:hAnsi="Times New Roman" w:cs="Times New Roman"/>
          <w:sz w:val="24"/>
          <w:szCs w:val="24"/>
          <w:lang w:eastAsia="it-IT"/>
        </w:rPr>
        <w:t>” rispetto alle vigenti prescrizioni normative;</w:t>
      </w:r>
    </w:p>
    <w:p w:rsidR="000E5873" w:rsidRPr="007D1DFE" w:rsidRDefault="009903C3" w:rsidP="007D1DFE">
      <w:pPr>
        <w:pStyle w:val="Paragrafoelenco"/>
        <w:numPr>
          <w:ilvl w:val="0"/>
          <w:numId w:val="24"/>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definisce gli obiettivi strategici in materia di prevenzione della corruzione e trasparenza </w:t>
      </w:r>
      <w:r w:rsidRPr="007D1DFE">
        <w:rPr>
          <w:vertAlign w:val="superscript"/>
          <w:lang w:eastAsia="it-IT"/>
        </w:rPr>
        <w:footnoteReference w:id="19"/>
      </w:r>
      <w:r w:rsidRPr="007D1DFE">
        <w:rPr>
          <w:rFonts w:ascii="Times New Roman" w:eastAsia="Times New Roman" w:hAnsi="Times New Roman" w:cs="Times New Roman"/>
          <w:sz w:val="24"/>
          <w:szCs w:val="24"/>
          <w:lang w:eastAsia="it-IT"/>
        </w:rPr>
        <w:t>;</w:t>
      </w:r>
    </w:p>
    <w:p w:rsidR="000E5873" w:rsidRPr="007D1DFE" w:rsidRDefault="009903C3" w:rsidP="007D1DFE">
      <w:pPr>
        <w:pStyle w:val="Paragrafoelenco"/>
        <w:numPr>
          <w:ilvl w:val="0"/>
          <w:numId w:val="24"/>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adotta il </w:t>
      </w:r>
      <w:r w:rsidR="0003617A" w:rsidRPr="007D1DFE">
        <w:rPr>
          <w:rFonts w:ascii="Times New Roman" w:eastAsia="Times New Roman" w:hAnsi="Times New Roman" w:cs="Times New Roman"/>
          <w:sz w:val="24"/>
          <w:szCs w:val="24"/>
          <w:lang w:eastAsia="it-IT"/>
        </w:rPr>
        <w:t>p</w:t>
      </w:r>
      <w:r w:rsidRPr="007D1DFE">
        <w:rPr>
          <w:rFonts w:ascii="Times New Roman" w:eastAsia="Times New Roman" w:hAnsi="Times New Roman" w:cs="Times New Roman"/>
          <w:sz w:val="24"/>
          <w:szCs w:val="24"/>
          <w:lang w:eastAsia="it-IT"/>
        </w:rPr>
        <w:t xml:space="preserve">iano </w:t>
      </w:r>
      <w:r w:rsidR="00CA37DE" w:rsidRPr="007D1DFE">
        <w:rPr>
          <w:rFonts w:ascii="Times New Roman" w:eastAsia="Times New Roman" w:hAnsi="Times New Roman" w:cs="Times New Roman"/>
          <w:sz w:val="24"/>
          <w:szCs w:val="24"/>
          <w:lang w:eastAsia="it-IT"/>
        </w:rPr>
        <w:t xml:space="preserve">della </w:t>
      </w:r>
      <w:r w:rsidR="0003617A" w:rsidRPr="007D1DFE">
        <w:rPr>
          <w:rFonts w:ascii="Times New Roman" w:eastAsia="Times New Roman" w:hAnsi="Times New Roman" w:cs="Times New Roman"/>
          <w:sz w:val="24"/>
          <w:szCs w:val="24"/>
          <w:lang w:eastAsia="it-IT"/>
        </w:rPr>
        <w:t>p</w:t>
      </w:r>
      <w:r w:rsidRPr="007D1DFE">
        <w:rPr>
          <w:rFonts w:ascii="Times New Roman" w:eastAsia="Times New Roman" w:hAnsi="Times New Roman" w:cs="Times New Roman"/>
          <w:sz w:val="24"/>
          <w:szCs w:val="24"/>
          <w:lang w:eastAsia="it-IT"/>
        </w:rPr>
        <w:t>erformance, quale ulteriore strumento di prevenzione della corruzione;</w:t>
      </w:r>
    </w:p>
    <w:p w:rsidR="009903C3" w:rsidRPr="007D1DFE" w:rsidRDefault="009903C3" w:rsidP="007D1DFE">
      <w:pPr>
        <w:pStyle w:val="Paragrafoelenco"/>
        <w:numPr>
          <w:ilvl w:val="0"/>
          <w:numId w:val="24"/>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adotta ogni atto a carattere regolamentare interno e d’indirizzo generale funzionale alla prevenzione della corruzione e alla realizzazione del principio della trasparenza relativamente all’attività degli uffici del Consiglio regionale.</w:t>
      </w:r>
    </w:p>
    <w:p w:rsidR="009903C3" w:rsidRPr="007D1DFE" w:rsidRDefault="009903C3" w:rsidP="007D1DFE">
      <w:pPr>
        <w:spacing w:line="240" w:lineRule="auto"/>
        <w:ind w:left="36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left="360"/>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numPr>
          <w:ilvl w:val="2"/>
          <w:numId w:val="8"/>
        </w:num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Il Responsabile della prevenzione della corruzione.</w:t>
      </w:r>
      <w:r w:rsidR="002E20FA" w:rsidRPr="007D1DFE">
        <w:rPr>
          <w:rFonts w:ascii="Times New Roman" w:eastAsia="Times New Roman" w:hAnsi="Times New Roman" w:cs="Times New Roman"/>
          <w:b/>
          <w:sz w:val="24"/>
          <w:szCs w:val="24"/>
          <w:lang w:eastAsia="it-IT"/>
        </w:rPr>
        <w:t xml:space="preserve"> </w:t>
      </w:r>
    </w:p>
    <w:p w:rsidR="00865A99" w:rsidRPr="007D1DFE" w:rsidRDefault="00865A99"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78297A"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w:t>
      </w:r>
      <w:r w:rsidR="0003617A" w:rsidRPr="007D1DFE">
        <w:rPr>
          <w:rFonts w:ascii="Times New Roman" w:eastAsia="Times New Roman" w:hAnsi="Times New Roman" w:cs="Times New Roman"/>
          <w:sz w:val="24"/>
          <w:szCs w:val="24"/>
          <w:lang w:eastAsia="it-IT"/>
        </w:rPr>
        <w:t>PCT del Consiglio regionale è</w:t>
      </w:r>
      <w:r w:rsidRPr="007D1DFE">
        <w:rPr>
          <w:rFonts w:ascii="Times New Roman" w:eastAsia="Times New Roman" w:hAnsi="Times New Roman" w:cs="Times New Roman"/>
          <w:sz w:val="24"/>
          <w:szCs w:val="24"/>
          <w:lang w:eastAsia="it-IT"/>
        </w:rPr>
        <w:t xml:space="preserve"> il Dott. Paolo Cortesini, al quale</w:t>
      </w:r>
      <w:r w:rsidR="0003617A"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w:t>
      </w:r>
      <w:r w:rsidR="0003617A" w:rsidRPr="007D1DFE">
        <w:rPr>
          <w:rFonts w:ascii="Times New Roman" w:eastAsia="Times New Roman" w:hAnsi="Times New Roman" w:cs="Times New Roman"/>
          <w:sz w:val="24"/>
          <w:szCs w:val="24"/>
          <w:lang w:eastAsia="it-IT"/>
        </w:rPr>
        <w:t xml:space="preserve">previa deliberazione di nomina dell’Ufficio di presidenza 31ottobre, n. 193, </w:t>
      </w:r>
      <w:r w:rsidRPr="007D1DFE">
        <w:rPr>
          <w:rFonts w:ascii="Times New Roman" w:eastAsia="Times New Roman" w:hAnsi="Times New Roman" w:cs="Times New Roman"/>
          <w:sz w:val="24"/>
          <w:szCs w:val="24"/>
          <w:lang w:eastAsia="it-IT"/>
        </w:rPr>
        <w:t>è stato conferi</w:t>
      </w:r>
      <w:r w:rsidR="0003617A" w:rsidRPr="007D1DFE">
        <w:rPr>
          <w:rFonts w:ascii="Times New Roman" w:eastAsia="Times New Roman" w:hAnsi="Times New Roman" w:cs="Times New Roman"/>
          <w:sz w:val="24"/>
          <w:szCs w:val="24"/>
          <w:lang w:eastAsia="it-IT"/>
        </w:rPr>
        <w:t>to l’incarico di Direttore del S</w:t>
      </w:r>
      <w:r w:rsidRPr="007D1DFE">
        <w:rPr>
          <w:rFonts w:ascii="Times New Roman" w:eastAsia="Times New Roman" w:hAnsi="Times New Roman" w:cs="Times New Roman"/>
          <w:sz w:val="24"/>
          <w:szCs w:val="24"/>
          <w:lang w:eastAsia="it-IT"/>
        </w:rPr>
        <w:t>ervizio “Prevenzione della corruzione, Trasparenza” c</w:t>
      </w:r>
      <w:r w:rsidR="00F2569F" w:rsidRPr="007D1DFE">
        <w:rPr>
          <w:rFonts w:ascii="Times New Roman" w:eastAsia="Times New Roman" w:hAnsi="Times New Roman" w:cs="Times New Roman"/>
          <w:sz w:val="24"/>
          <w:szCs w:val="24"/>
          <w:lang w:eastAsia="it-IT"/>
        </w:rPr>
        <w:t xml:space="preserve">on </w:t>
      </w:r>
      <w:r w:rsidRPr="007D1DFE">
        <w:rPr>
          <w:rFonts w:ascii="Times New Roman" w:eastAsia="Times New Roman" w:hAnsi="Times New Roman" w:cs="Times New Roman"/>
          <w:sz w:val="24"/>
          <w:szCs w:val="24"/>
          <w:lang w:eastAsia="it-IT"/>
        </w:rPr>
        <w:t xml:space="preserve">decreto del Presidente </w:t>
      </w:r>
      <w:r w:rsidR="0003617A" w:rsidRPr="007D1DFE">
        <w:rPr>
          <w:rFonts w:ascii="Times New Roman" w:eastAsia="Times New Roman" w:hAnsi="Times New Roman" w:cs="Times New Roman"/>
          <w:sz w:val="24"/>
          <w:szCs w:val="24"/>
          <w:lang w:eastAsia="it-IT"/>
        </w:rPr>
        <w:t xml:space="preserve">del Consiglio regionale </w:t>
      </w:r>
      <w:r w:rsidRPr="007D1DFE">
        <w:rPr>
          <w:rFonts w:ascii="Times New Roman" w:eastAsia="Times New Roman" w:hAnsi="Times New Roman" w:cs="Times New Roman"/>
          <w:sz w:val="24"/>
          <w:szCs w:val="24"/>
          <w:lang w:eastAsia="it-IT"/>
        </w:rPr>
        <w:t>8 novembre 2018, n. 28.</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w:t>
      </w:r>
      <w:r w:rsidR="0078297A" w:rsidRPr="007D1DFE">
        <w:rPr>
          <w:rFonts w:ascii="Times New Roman" w:eastAsia="Times New Roman" w:hAnsi="Times New Roman" w:cs="Times New Roman"/>
          <w:sz w:val="24"/>
          <w:szCs w:val="24"/>
          <w:lang w:eastAsia="it-IT"/>
        </w:rPr>
        <w:t xml:space="preserve">PCT </w:t>
      </w:r>
      <w:r w:rsidRPr="007D1DFE">
        <w:rPr>
          <w:rFonts w:ascii="Times New Roman" w:eastAsia="Times New Roman" w:hAnsi="Times New Roman" w:cs="Times New Roman"/>
          <w:sz w:val="24"/>
          <w:szCs w:val="24"/>
          <w:lang w:eastAsia="it-IT"/>
        </w:rPr>
        <w:t>ricopre un ruolo centrale nell’</w:t>
      </w:r>
      <w:r w:rsidR="000E5873"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 xml:space="preserve">mministrazione per la predisposizione e attuazione di idonee misure in grado di scongiurare i rischi di eventi di corruzione e per garantire la massima </w:t>
      </w:r>
      <w:r w:rsidRPr="007D1DFE">
        <w:rPr>
          <w:rFonts w:ascii="Times New Roman" w:eastAsia="Times New Roman" w:hAnsi="Times New Roman" w:cs="Times New Roman"/>
          <w:sz w:val="24"/>
          <w:szCs w:val="24"/>
          <w:lang w:eastAsia="it-IT"/>
        </w:rPr>
        <w:lastRenderedPageBreak/>
        <w:t>pubblic</w:t>
      </w:r>
      <w:r w:rsidR="000E5873" w:rsidRPr="007D1DFE">
        <w:rPr>
          <w:rFonts w:ascii="Times New Roman" w:eastAsia="Times New Roman" w:hAnsi="Times New Roman" w:cs="Times New Roman"/>
          <w:sz w:val="24"/>
          <w:szCs w:val="24"/>
          <w:lang w:eastAsia="it-IT"/>
        </w:rPr>
        <w:t>ità dell’attività della stessa A</w:t>
      </w:r>
      <w:r w:rsidRPr="007D1DFE">
        <w:rPr>
          <w:rFonts w:ascii="Times New Roman" w:eastAsia="Times New Roman" w:hAnsi="Times New Roman" w:cs="Times New Roman"/>
          <w:sz w:val="24"/>
          <w:szCs w:val="24"/>
          <w:lang w:eastAsia="it-IT"/>
        </w:rPr>
        <w:t>mministrazione, in funzione dell’attuazione dei principi</w:t>
      </w:r>
      <w:r w:rsidR="000E5873" w:rsidRPr="007D1DFE">
        <w:rPr>
          <w:rFonts w:ascii="Times New Roman" w:eastAsia="Times New Roman" w:hAnsi="Times New Roman" w:cs="Times New Roman"/>
          <w:sz w:val="24"/>
          <w:szCs w:val="24"/>
          <w:lang w:eastAsia="it-IT"/>
        </w:rPr>
        <w:t xml:space="preserve"> generali di imparzialità, buon andamento, </w:t>
      </w:r>
      <w:r w:rsidRPr="007D1DFE">
        <w:rPr>
          <w:rFonts w:ascii="Times New Roman" w:eastAsia="Times New Roman" w:hAnsi="Times New Roman" w:cs="Times New Roman"/>
          <w:sz w:val="24"/>
          <w:szCs w:val="24"/>
          <w:lang w:eastAsia="it-IT"/>
        </w:rPr>
        <w:t>trasparenza</w:t>
      </w:r>
      <w:r w:rsidR="000E5873" w:rsidRPr="007D1DFE">
        <w:rPr>
          <w:rFonts w:ascii="Times New Roman" w:eastAsia="Times New Roman" w:hAnsi="Times New Roman" w:cs="Times New Roman"/>
          <w:sz w:val="24"/>
          <w:szCs w:val="24"/>
          <w:lang w:eastAsia="it-IT"/>
        </w:rPr>
        <w:t xml:space="preserve"> ed</w:t>
      </w:r>
      <w:r w:rsidRPr="007D1DFE">
        <w:rPr>
          <w:rFonts w:ascii="Times New Roman" w:eastAsia="Times New Roman" w:hAnsi="Times New Roman" w:cs="Times New Roman"/>
          <w:sz w:val="24"/>
          <w:szCs w:val="24"/>
          <w:lang w:eastAsia="it-IT"/>
        </w:rPr>
        <w:t xml:space="preserve"> economicità, espressi o desumibili dall’art</w:t>
      </w:r>
      <w:r w:rsidR="000E5873" w:rsidRPr="007D1DFE">
        <w:rPr>
          <w:rFonts w:ascii="Times New Roman" w:eastAsia="Times New Roman" w:hAnsi="Times New Roman" w:cs="Times New Roman"/>
          <w:sz w:val="24"/>
          <w:szCs w:val="24"/>
          <w:lang w:eastAsia="it-IT"/>
        </w:rPr>
        <w:t>icolo</w:t>
      </w:r>
      <w:r w:rsidRPr="007D1DFE">
        <w:rPr>
          <w:rFonts w:ascii="Times New Roman" w:eastAsia="Times New Roman" w:hAnsi="Times New Roman" w:cs="Times New Roman"/>
          <w:sz w:val="24"/>
          <w:szCs w:val="24"/>
          <w:lang w:eastAsia="it-IT"/>
        </w:rPr>
        <w:t xml:space="preserve"> 97 della Costituzione.</w:t>
      </w:r>
    </w:p>
    <w:p w:rsidR="009903C3" w:rsidRPr="007D1DFE" w:rsidRDefault="009903C3" w:rsidP="007D1DFE">
      <w:pPr>
        <w:spacing w:line="240" w:lineRule="auto"/>
        <w:ind w:firstLine="36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w:t>
      </w:r>
      <w:r w:rsidR="000E5873" w:rsidRPr="007D1DFE">
        <w:rPr>
          <w:rFonts w:ascii="Times New Roman" w:eastAsia="Times New Roman" w:hAnsi="Times New Roman" w:cs="Times New Roman"/>
          <w:sz w:val="24"/>
          <w:szCs w:val="24"/>
          <w:lang w:eastAsia="it-IT"/>
        </w:rPr>
        <w:t>PCT</w:t>
      </w:r>
      <w:r w:rsidRPr="007D1DFE">
        <w:rPr>
          <w:rFonts w:ascii="Times New Roman" w:eastAsia="Times New Roman" w:hAnsi="Times New Roman" w:cs="Times New Roman"/>
          <w:sz w:val="24"/>
          <w:szCs w:val="24"/>
          <w:lang w:eastAsia="it-IT"/>
        </w:rPr>
        <w:t>, in particolare:</w:t>
      </w:r>
    </w:p>
    <w:p w:rsidR="000E5873" w:rsidRPr="007D1DFE" w:rsidRDefault="000E587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propone all’Ufficio di p</w:t>
      </w:r>
      <w:r w:rsidR="009903C3" w:rsidRPr="007D1DFE">
        <w:rPr>
          <w:rFonts w:ascii="Times New Roman" w:eastAsia="Times New Roman" w:hAnsi="Times New Roman" w:cs="Times New Roman"/>
          <w:sz w:val="24"/>
          <w:szCs w:val="24"/>
          <w:lang w:eastAsia="it-IT"/>
        </w:rPr>
        <w:t xml:space="preserve">residenza l’adozione del </w:t>
      </w:r>
      <w:r w:rsidR="00896E6B" w:rsidRPr="007D1DFE">
        <w:rPr>
          <w:rFonts w:ascii="Times New Roman" w:eastAsia="Times New Roman" w:hAnsi="Times New Roman" w:cs="Times New Roman"/>
          <w:sz w:val="24"/>
          <w:szCs w:val="24"/>
          <w:lang w:eastAsia="it-IT"/>
        </w:rPr>
        <w:t>PTPC</w:t>
      </w:r>
      <w:r w:rsidR="009903C3" w:rsidRPr="007D1DFE">
        <w:rPr>
          <w:rFonts w:ascii="Times New Roman" w:eastAsia="Times New Roman" w:hAnsi="Times New Roman" w:cs="Times New Roman"/>
          <w:sz w:val="24"/>
          <w:szCs w:val="24"/>
          <w:lang w:eastAsia="it-IT"/>
        </w:rPr>
        <w:t xml:space="preserve"> e i suoi aggiornamenti annuali con proiezione triennale;</w:t>
      </w:r>
    </w:p>
    <w:p w:rsidR="00861AB8"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definisce, in coordinamento con il responsabile della struttura competente in materia di personale, procedure idonee </w:t>
      </w:r>
      <w:r w:rsidR="00861AB8" w:rsidRPr="007D1DFE">
        <w:rPr>
          <w:rFonts w:ascii="Times New Roman" w:eastAsia="Times New Roman" w:hAnsi="Times New Roman" w:cs="Times New Roman"/>
          <w:sz w:val="24"/>
          <w:szCs w:val="24"/>
          <w:lang w:eastAsia="it-IT"/>
        </w:rPr>
        <w:t>per</w:t>
      </w:r>
      <w:r w:rsidRPr="007D1DFE">
        <w:rPr>
          <w:rFonts w:ascii="Times New Roman" w:eastAsia="Times New Roman" w:hAnsi="Times New Roman" w:cs="Times New Roman"/>
          <w:sz w:val="24"/>
          <w:szCs w:val="24"/>
          <w:lang w:eastAsia="it-IT"/>
        </w:rPr>
        <w:t xml:space="preserve"> selezionare e formare i dipendenti destinati a operare in settori particolarmente esposti alla corruzione;</w:t>
      </w:r>
    </w:p>
    <w:p w:rsidR="00861AB8"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verifica l’efficace attuazione del </w:t>
      </w:r>
      <w:r w:rsidR="00861AB8"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e propone la modifica di esso nei casi di accertate significative violazioni delle prescrizioni o qualora siano intervenuti mutamenti nell’organ</w:t>
      </w:r>
      <w:r w:rsidR="00861AB8" w:rsidRPr="007D1DFE">
        <w:rPr>
          <w:rFonts w:ascii="Times New Roman" w:eastAsia="Times New Roman" w:hAnsi="Times New Roman" w:cs="Times New Roman"/>
          <w:sz w:val="24"/>
          <w:szCs w:val="24"/>
          <w:lang w:eastAsia="it-IT"/>
        </w:rPr>
        <w:t>izzazione o nell’attività dell’A</w:t>
      </w:r>
      <w:r w:rsidRPr="007D1DFE">
        <w:rPr>
          <w:rFonts w:ascii="Times New Roman" w:eastAsia="Times New Roman" w:hAnsi="Times New Roman" w:cs="Times New Roman"/>
          <w:sz w:val="24"/>
          <w:szCs w:val="24"/>
          <w:lang w:eastAsia="it-IT"/>
        </w:rPr>
        <w:t>mministrazione ovvero nell’eventualità di nuovi interventi normativi afferenti agli ambiti trattati dal</w:t>
      </w:r>
      <w:r w:rsidR="00861AB8" w:rsidRPr="007D1DFE">
        <w:rPr>
          <w:rFonts w:ascii="Times New Roman" w:eastAsia="Times New Roman" w:hAnsi="Times New Roman" w:cs="Times New Roman"/>
          <w:sz w:val="24"/>
          <w:szCs w:val="24"/>
          <w:lang w:eastAsia="it-IT"/>
        </w:rPr>
        <w:t xml:space="preserve">lo stesso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w:t>
      </w:r>
    </w:p>
    <w:p w:rsidR="00861AB8"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verifica, d’intesa con il responsabile della struttura competente in materia di personale, l’effettiva rotazione degli incarichi negli uffici nei quali è più elevato il rischio di eventi di corruzione;</w:t>
      </w:r>
    </w:p>
    <w:p w:rsidR="009903C3"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segnala</w:t>
      </w:r>
      <w:r w:rsidR="00861AB8" w:rsidRPr="007D1DFE">
        <w:rPr>
          <w:rFonts w:ascii="Times New Roman" w:eastAsia="Times New Roman" w:hAnsi="Times New Roman" w:cs="Times New Roman"/>
          <w:sz w:val="24"/>
          <w:szCs w:val="24"/>
          <w:lang w:eastAsia="it-IT"/>
        </w:rPr>
        <w:t xml:space="preserve"> all'Ufficio di presidenza e</w:t>
      </w:r>
      <w:r w:rsidRPr="007D1DFE">
        <w:rPr>
          <w:rFonts w:ascii="Times New Roman" w:eastAsia="Times New Roman" w:hAnsi="Times New Roman" w:cs="Times New Roman"/>
          <w:sz w:val="24"/>
          <w:szCs w:val="24"/>
          <w:lang w:eastAsia="it-IT"/>
        </w:rPr>
        <w:t xml:space="preserve"> all'</w:t>
      </w:r>
      <w:r w:rsidR="00861AB8" w:rsidRPr="007D1DFE">
        <w:rPr>
          <w:rFonts w:ascii="Times New Roman" w:eastAsia="Times New Roman" w:hAnsi="Times New Roman" w:cs="Times New Roman"/>
          <w:sz w:val="24"/>
          <w:szCs w:val="24"/>
          <w:lang w:eastAsia="it-IT"/>
        </w:rPr>
        <w:t xml:space="preserve">OIV le </w:t>
      </w:r>
      <w:r w:rsidRPr="007D1DFE">
        <w:rPr>
          <w:rFonts w:ascii="Times New Roman" w:eastAsia="Times New Roman" w:hAnsi="Times New Roman" w:cs="Times New Roman"/>
          <w:sz w:val="24"/>
          <w:szCs w:val="24"/>
          <w:lang w:eastAsia="it-IT"/>
        </w:rPr>
        <w:t>disfunzioni inerenti all'attuazione delle misure in materia di prevenzione della corruzione e di trasparenza e</w:t>
      </w:r>
      <w:r w:rsidR="00861AB8" w:rsidRPr="007D1DFE">
        <w:rPr>
          <w:rFonts w:ascii="Times New Roman" w:eastAsia="Times New Roman" w:hAnsi="Times New Roman" w:cs="Times New Roman"/>
          <w:sz w:val="24"/>
          <w:szCs w:val="24"/>
          <w:lang w:eastAsia="it-IT"/>
        </w:rPr>
        <w:t xml:space="preserve"> indica </w:t>
      </w:r>
      <w:r w:rsidRPr="007D1DFE">
        <w:rPr>
          <w:rFonts w:ascii="Times New Roman" w:eastAsia="Times New Roman" w:hAnsi="Times New Roman" w:cs="Times New Roman"/>
          <w:sz w:val="24"/>
          <w:szCs w:val="24"/>
          <w:lang w:eastAsia="it-IT"/>
        </w:rPr>
        <w:t xml:space="preserve">agli uffici competenti all'esercizio dell'azione disciplinare i nominativi dei dipendenti che non hanno attuato correttamente le </w:t>
      </w:r>
      <w:r w:rsidR="00861AB8" w:rsidRPr="007D1DFE">
        <w:rPr>
          <w:rFonts w:ascii="Times New Roman" w:eastAsia="Times New Roman" w:hAnsi="Times New Roman" w:cs="Times New Roman"/>
          <w:sz w:val="24"/>
          <w:szCs w:val="24"/>
          <w:lang w:eastAsia="it-IT"/>
        </w:rPr>
        <w:t xml:space="preserve">stesse </w:t>
      </w:r>
      <w:r w:rsidRPr="007D1DFE">
        <w:rPr>
          <w:rFonts w:ascii="Times New Roman" w:eastAsia="Times New Roman" w:hAnsi="Times New Roman" w:cs="Times New Roman"/>
          <w:sz w:val="24"/>
          <w:szCs w:val="24"/>
          <w:lang w:eastAsia="it-IT"/>
        </w:rPr>
        <w:t>misure</w:t>
      </w:r>
      <w:r w:rsidR="00861AB8" w:rsidRPr="007D1DFE">
        <w:rPr>
          <w:rFonts w:ascii="Times New Roman" w:eastAsia="Times New Roman" w:hAnsi="Times New Roman" w:cs="Times New Roman"/>
          <w:sz w:val="24"/>
          <w:szCs w:val="24"/>
          <w:lang w:eastAsia="it-IT"/>
        </w:rPr>
        <w:t>;</w:t>
      </w:r>
    </w:p>
    <w:p w:rsidR="00EC4A93"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predispone annualmente una relazione sull’attività svolta</w:t>
      </w:r>
      <w:r w:rsidR="00934079" w:rsidRPr="007D1DFE">
        <w:rPr>
          <w:rFonts w:ascii="Times New Roman" w:eastAsia="Times New Roman" w:hAnsi="Times New Roman" w:cs="Times New Roman"/>
          <w:sz w:val="24"/>
          <w:szCs w:val="24"/>
          <w:lang w:eastAsia="it-IT"/>
        </w:rPr>
        <w:t xml:space="preserve"> che è </w:t>
      </w:r>
      <w:r w:rsidRPr="007D1DFE">
        <w:rPr>
          <w:rFonts w:ascii="Times New Roman" w:eastAsia="Times New Roman" w:hAnsi="Times New Roman" w:cs="Times New Roman"/>
          <w:sz w:val="24"/>
          <w:szCs w:val="24"/>
          <w:lang w:eastAsia="it-IT"/>
        </w:rPr>
        <w:t>invia</w:t>
      </w:r>
      <w:r w:rsidR="00934079" w:rsidRPr="007D1DFE">
        <w:rPr>
          <w:rFonts w:ascii="Times New Roman" w:eastAsia="Times New Roman" w:hAnsi="Times New Roman" w:cs="Times New Roman"/>
          <w:sz w:val="24"/>
          <w:szCs w:val="24"/>
          <w:lang w:eastAsia="it-IT"/>
        </w:rPr>
        <w:t>ta</w:t>
      </w:r>
      <w:r w:rsidRPr="007D1DFE">
        <w:rPr>
          <w:rFonts w:ascii="Times New Roman" w:eastAsia="Times New Roman" w:hAnsi="Times New Roman" w:cs="Times New Roman"/>
          <w:sz w:val="24"/>
          <w:szCs w:val="24"/>
          <w:lang w:eastAsia="it-IT"/>
        </w:rPr>
        <w:t xml:space="preserve"> all’Ufficio di </w:t>
      </w:r>
      <w:r w:rsidR="00861AB8" w:rsidRPr="007D1DFE">
        <w:rPr>
          <w:rFonts w:ascii="Times New Roman" w:eastAsia="Times New Roman" w:hAnsi="Times New Roman" w:cs="Times New Roman"/>
          <w:sz w:val="24"/>
          <w:szCs w:val="24"/>
          <w:lang w:eastAsia="it-IT"/>
        </w:rPr>
        <w:t>p</w:t>
      </w:r>
      <w:r w:rsidRPr="007D1DFE">
        <w:rPr>
          <w:rFonts w:ascii="Times New Roman" w:eastAsia="Times New Roman" w:hAnsi="Times New Roman" w:cs="Times New Roman"/>
          <w:sz w:val="24"/>
          <w:szCs w:val="24"/>
          <w:lang w:eastAsia="it-IT"/>
        </w:rPr>
        <w:t>residenza e all'</w:t>
      </w:r>
      <w:r w:rsidR="00934079" w:rsidRPr="007D1DFE">
        <w:rPr>
          <w:rFonts w:ascii="Times New Roman" w:eastAsia="Times New Roman" w:hAnsi="Times New Roman" w:cs="Times New Roman"/>
          <w:sz w:val="24"/>
          <w:szCs w:val="24"/>
          <w:lang w:eastAsia="it-IT"/>
        </w:rPr>
        <w:t>O</w:t>
      </w:r>
      <w:r w:rsidR="00861AB8" w:rsidRPr="007D1DFE">
        <w:rPr>
          <w:rFonts w:ascii="Times New Roman" w:eastAsia="Times New Roman" w:hAnsi="Times New Roman" w:cs="Times New Roman"/>
          <w:sz w:val="24"/>
          <w:szCs w:val="24"/>
          <w:lang w:eastAsia="it-IT"/>
        </w:rPr>
        <w:t xml:space="preserve">IV e </w:t>
      </w:r>
      <w:r w:rsidRPr="007D1DFE">
        <w:rPr>
          <w:rFonts w:ascii="Times New Roman" w:eastAsia="Times New Roman" w:hAnsi="Times New Roman" w:cs="Times New Roman"/>
          <w:sz w:val="24"/>
          <w:szCs w:val="24"/>
          <w:lang w:eastAsia="it-IT"/>
        </w:rPr>
        <w:t>pubblica</w:t>
      </w:r>
      <w:r w:rsidR="00861AB8" w:rsidRPr="007D1DFE">
        <w:rPr>
          <w:rFonts w:ascii="Times New Roman" w:eastAsia="Times New Roman" w:hAnsi="Times New Roman" w:cs="Times New Roman"/>
          <w:sz w:val="24"/>
          <w:szCs w:val="24"/>
          <w:lang w:eastAsia="it-IT"/>
        </w:rPr>
        <w:t xml:space="preserve">ta </w:t>
      </w:r>
      <w:r w:rsidRPr="007D1DFE">
        <w:rPr>
          <w:rFonts w:ascii="Times New Roman" w:eastAsia="Times New Roman" w:hAnsi="Times New Roman" w:cs="Times New Roman"/>
          <w:sz w:val="24"/>
          <w:szCs w:val="24"/>
          <w:lang w:eastAsia="it-IT"/>
        </w:rPr>
        <w:t>sul sito</w:t>
      </w:r>
      <w:r w:rsidR="00861AB8" w:rsidRPr="007D1DFE">
        <w:rPr>
          <w:rFonts w:ascii="Times New Roman" w:eastAsia="Times New Roman" w:hAnsi="Times New Roman" w:cs="Times New Roman"/>
          <w:sz w:val="24"/>
          <w:szCs w:val="24"/>
          <w:lang w:eastAsia="it-IT"/>
        </w:rPr>
        <w:t xml:space="preserve"> istituzionale </w:t>
      </w:r>
      <w:r w:rsidRPr="007D1DFE">
        <w:rPr>
          <w:rFonts w:ascii="Times New Roman" w:eastAsia="Times New Roman" w:hAnsi="Times New Roman" w:cs="Times New Roman"/>
          <w:sz w:val="24"/>
          <w:szCs w:val="24"/>
          <w:lang w:eastAsia="it-IT"/>
        </w:rPr>
        <w:t>del Consiglio regionale;</w:t>
      </w:r>
    </w:p>
    <w:p w:rsidR="00EC4A93"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vigila e verifica, ai sensi dell’articolo 15 del d</w:t>
      </w:r>
      <w:r w:rsidR="00861AB8" w:rsidRPr="007D1DFE">
        <w:rPr>
          <w:rFonts w:ascii="Times New Roman" w:eastAsia="Times New Roman" w:hAnsi="Times New Roman" w:cs="Times New Roman"/>
          <w:sz w:val="24"/>
          <w:szCs w:val="24"/>
          <w:lang w:eastAsia="it-IT"/>
        </w:rPr>
        <w:t>.lgs. 39/</w:t>
      </w:r>
      <w:r w:rsidRPr="007D1DFE">
        <w:rPr>
          <w:rFonts w:ascii="Times New Roman" w:eastAsia="Times New Roman" w:hAnsi="Times New Roman" w:cs="Times New Roman"/>
          <w:sz w:val="24"/>
          <w:szCs w:val="24"/>
          <w:lang w:eastAsia="it-IT"/>
        </w:rPr>
        <w:t xml:space="preserve">2013, </w:t>
      </w:r>
      <w:r w:rsidR="00861AB8" w:rsidRPr="007D1DFE">
        <w:rPr>
          <w:rFonts w:ascii="Times New Roman" w:eastAsia="Times New Roman" w:hAnsi="Times New Roman" w:cs="Times New Roman"/>
          <w:sz w:val="24"/>
          <w:szCs w:val="24"/>
          <w:lang w:eastAsia="it-IT"/>
        </w:rPr>
        <w:t>i</w:t>
      </w:r>
      <w:r w:rsidRPr="007D1DFE">
        <w:rPr>
          <w:rFonts w:ascii="Times New Roman" w:eastAsia="Times New Roman" w:hAnsi="Times New Roman" w:cs="Times New Roman"/>
          <w:sz w:val="24"/>
          <w:szCs w:val="24"/>
          <w:lang w:eastAsia="it-IT"/>
        </w:rPr>
        <w:t xml:space="preserve">l rispetto delle disposizioni in materia di inconferibilità e incompatibilità </w:t>
      </w:r>
      <w:r w:rsidRPr="007D1DFE">
        <w:rPr>
          <w:vertAlign w:val="superscript"/>
          <w:lang w:eastAsia="it-IT"/>
        </w:rPr>
        <w:footnoteReference w:id="20"/>
      </w:r>
      <w:r w:rsidRPr="007D1DFE">
        <w:rPr>
          <w:rFonts w:ascii="Times New Roman" w:eastAsia="Times New Roman" w:hAnsi="Times New Roman" w:cs="Times New Roman"/>
          <w:sz w:val="24"/>
          <w:szCs w:val="24"/>
          <w:lang w:eastAsia="it-IT"/>
        </w:rPr>
        <w:t>. A tal fine, contesta all’interessato l’esistenza o l’insorg</w:t>
      </w:r>
      <w:r w:rsidR="00EC4A93" w:rsidRPr="007D1DFE">
        <w:rPr>
          <w:rFonts w:ascii="Times New Roman" w:eastAsia="Times New Roman" w:hAnsi="Times New Roman" w:cs="Times New Roman"/>
          <w:sz w:val="24"/>
          <w:szCs w:val="24"/>
          <w:lang w:eastAsia="it-IT"/>
        </w:rPr>
        <w:t>enza di</w:t>
      </w:r>
      <w:r w:rsidRPr="007D1DFE">
        <w:rPr>
          <w:rFonts w:ascii="Times New Roman" w:eastAsia="Times New Roman" w:hAnsi="Times New Roman" w:cs="Times New Roman"/>
          <w:sz w:val="24"/>
          <w:szCs w:val="24"/>
          <w:lang w:eastAsia="it-IT"/>
        </w:rPr>
        <w:t xml:space="preserve"> situazioni di inconferibilità e incompatibilità. Segnala i casi di</w:t>
      </w:r>
      <w:r w:rsidR="00EC4A93" w:rsidRPr="007D1DFE">
        <w:rPr>
          <w:rFonts w:ascii="Times New Roman" w:eastAsia="Times New Roman" w:hAnsi="Times New Roman" w:cs="Times New Roman"/>
          <w:sz w:val="24"/>
          <w:szCs w:val="24"/>
          <w:lang w:eastAsia="it-IT"/>
        </w:rPr>
        <w:t xml:space="preserve"> possibile violazione del d.lgs. </w:t>
      </w:r>
      <w:r w:rsidRPr="007D1DFE">
        <w:rPr>
          <w:rFonts w:ascii="Times New Roman" w:eastAsia="Times New Roman" w:hAnsi="Times New Roman" w:cs="Times New Roman"/>
          <w:sz w:val="24"/>
          <w:szCs w:val="24"/>
          <w:lang w:eastAsia="it-IT"/>
        </w:rPr>
        <w:t>39/2013 all’A</w:t>
      </w:r>
      <w:r w:rsidR="00EC4A93" w:rsidRPr="007D1DFE">
        <w:rPr>
          <w:rFonts w:ascii="Times New Roman" w:eastAsia="Times New Roman" w:hAnsi="Times New Roman" w:cs="Times New Roman"/>
          <w:sz w:val="24"/>
          <w:szCs w:val="24"/>
          <w:lang w:eastAsia="it-IT"/>
        </w:rPr>
        <w:t>NAC</w:t>
      </w:r>
      <w:r w:rsidRPr="007D1DFE">
        <w:rPr>
          <w:rFonts w:ascii="Times New Roman" w:eastAsia="Times New Roman" w:hAnsi="Times New Roman" w:cs="Times New Roman"/>
          <w:sz w:val="24"/>
          <w:szCs w:val="24"/>
          <w:lang w:eastAsia="it-IT"/>
        </w:rPr>
        <w:t xml:space="preserve">, all’AGCM per l’esercizio delle funzioni </w:t>
      </w:r>
      <w:r w:rsidRPr="007D1DFE">
        <w:rPr>
          <w:rFonts w:ascii="Times New Roman" w:eastAsia="Times New Roman" w:hAnsi="Times New Roman" w:cs="Times New Roman"/>
          <w:i/>
          <w:sz w:val="24"/>
          <w:szCs w:val="24"/>
          <w:lang w:eastAsia="it-IT"/>
        </w:rPr>
        <w:t xml:space="preserve">ex </w:t>
      </w:r>
      <w:proofErr w:type="spellStart"/>
      <w:r w:rsidRPr="007D1DFE">
        <w:rPr>
          <w:rFonts w:ascii="Times New Roman" w:eastAsia="Times New Roman" w:hAnsi="Times New Roman" w:cs="Times New Roman"/>
          <w:i/>
          <w:sz w:val="24"/>
          <w:szCs w:val="24"/>
          <w:lang w:eastAsia="it-IT"/>
        </w:rPr>
        <w:t>lege</w:t>
      </w:r>
      <w:proofErr w:type="spellEnd"/>
      <w:r w:rsidRPr="007D1DFE">
        <w:rPr>
          <w:rFonts w:ascii="Times New Roman" w:eastAsia="Times New Roman" w:hAnsi="Times New Roman" w:cs="Times New Roman"/>
          <w:sz w:val="24"/>
          <w:szCs w:val="24"/>
          <w:lang w:eastAsia="it-IT"/>
        </w:rPr>
        <w:t xml:space="preserve"> </w:t>
      </w:r>
      <w:r w:rsidR="00EC4A93" w:rsidRPr="007D1DFE">
        <w:rPr>
          <w:rFonts w:ascii="Times New Roman" w:eastAsia="Times New Roman" w:hAnsi="Times New Roman" w:cs="Times New Roman"/>
          <w:bCs/>
          <w:lang w:eastAsia="it-IT"/>
        </w:rPr>
        <w:t>20 luglio 2004, n. 215</w:t>
      </w:r>
      <w:r w:rsidRPr="007D1DFE">
        <w:rPr>
          <w:bCs/>
          <w:vertAlign w:val="superscript"/>
          <w:lang w:eastAsia="it-IT"/>
        </w:rPr>
        <w:footnoteReference w:id="21"/>
      </w:r>
      <w:r w:rsidR="00EC4A93" w:rsidRPr="007D1DFE">
        <w:rPr>
          <w:rFonts w:ascii="Times New Roman" w:eastAsia="Times New Roman" w:hAnsi="Times New Roman" w:cs="Times New Roman"/>
          <w:bCs/>
          <w:lang w:eastAsia="it-IT"/>
        </w:rPr>
        <w:t xml:space="preserve">, </w:t>
      </w:r>
      <w:r w:rsidRPr="007D1DFE">
        <w:rPr>
          <w:rFonts w:ascii="Times New Roman" w:eastAsia="Times New Roman" w:hAnsi="Times New Roman" w:cs="Times New Roman"/>
          <w:sz w:val="24"/>
          <w:szCs w:val="24"/>
          <w:lang w:eastAsia="it-IT"/>
        </w:rPr>
        <w:t>e alla Corte dei conti per l’accertamento di responsabilità amministrative;</w:t>
      </w:r>
    </w:p>
    <w:p w:rsidR="00EC4A93"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adotta provvedimenti di riesame relativi al diniego all’accesso civico da parte degli uffici ovvero in caso di loro mancata risposta nel termine previsto dalla normativa;</w:t>
      </w:r>
    </w:p>
    <w:p w:rsidR="00EC4A93" w:rsidRPr="007D1DFE" w:rsidRDefault="00EC4A9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cura, </w:t>
      </w:r>
      <w:r w:rsidR="009903C3" w:rsidRPr="007D1DFE">
        <w:rPr>
          <w:rFonts w:ascii="Times New Roman" w:eastAsia="Times New Roman" w:hAnsi="Times New Roman" w:cs="Times New Roman"/>
          <w:sz w:val="24"/>
          <w:szCs w:val="24"/>
          <w:lang w:eastAsia="it-IT"/>
        </w:rPr>
        <w:t>ai sensi dell’art</w:t>
      </w:r>
      <w:r w:rsidRPr="007D1DFE">
        <w:rPr>
          <w:rFonts w:ascii="Times New Roman" w:eastAsia="Times New Roman" w:hAnsi="Times New Roman" w:cs="Times New Roman"/>
          <w:sz w:val="24"/>
          <w:szCs w:val="24"/>
          <w:lang w:eastAsia="it-IT"/>
        </w:rPr>
        <w:t xml:space="preserve">icolo </w:t>
      </w:r>
      <w:r w:rsidR="009903C3" w:rsidRPr="007D1DFE">
        <w:rPr>
          <w:rFonts w:ascii="Times New Roman" w:eastAsia="Times New Roman" w:hAnsi="Times New Roman" w:cs="Times New Roman"/>
          <w:sz w:val="24"/>
          <w:szCs w:val="24"/>
          <w:lang w:eastAsia="it-IT"/>
        </w:rPr>
        <w:t>15 del d</w:t>
      </w:r>
      <w:r w:rsidRPr="007D1DFE">
        <w:rPr>
          <w:rFonts w:ascii="Times New Roman" w:eastAsia="Times New Roman" w:hAnsi="Times New Roman" w:cs="Times New Roman"/>
          <w:sz w:val="24"/>
          <w:szCs w:val="24"/>
          <w:lang w:eastAsia="it-IT"/>
        </w:rPr>
        <w:t>.P.R. 62/</w:t>
      </w:r>
      <w:r w:rsidR="009903C3" w:rsidRPr="007D1DFE">
        <w:rPr>
          <w:rFonts w:ascii="Times New Roman" w:eastAsia="Times New Roman" w:hAnsi="Times New Roman" w:cs="Times New Roman"/>
          <w:sz w:val="24"/>
          <w:szCs w:val="24"/>
          <w:lang w:eastAsia="it-IT"/>
        </w:rPr>
        <w:t>2013, la diffusione della conoscenza del Codice di comportamento nell’</w:t>
      </w:r>
      <w:r w:rsidRPr="007D1DFE">
        <w:rPr>
          <w:rFonts w:ascii="Times New Roman" w:eastAsia="Times New Roman" w:hAnsi="Times New Roman" w:cs="Times New Roman"/>
          <w:sz w:val="24"/>
          <w:szCs w:val="24"/>
          <w:lang w:eastAsia="it-IT"/>
        </w:rPr>
        <w:t>A</w:t>
      </w:r>
      <w:r w:rsidR="009903C3" w:rsidRPr="007D1DFE">
        <w:rPr>
          <w:rFonts w:ascii="Times New Roman" w:eastAsia="Times New Roman" w:hAnsi="Times New Roman" w:cs="Times New Roman"/>
          <w:sz w:val="24"/>
          <w:szCs w:val="24"/>
          <w:lang w:eastAsia="it-IT"/>
        </w:rPr>
        <w:t>mministrazione, il monitoraggio annuale sulla sua attuazione nonché, ai sensi dell’art</w:t>
      </w:r>
      <w:r w:rsidRPr="007D1DFE">
        <w:rPr>
          <w:rFonts w:ascii="Times New Roman" w:eastAsia="Times New Roman" w:hAnsi="Times New Roman" w:cs="Times New Roman"/>
          <w:sz w:val="24"/>
          <w:szCs w:val="24"/>
          <w:lang w:eastAsia="it-IT"/>
        </w:rPr>
        <w:t>icolo</w:t>
      </w:r>
      <w:r w:rsidR="009903C3" w:rsidRPr="007D1DFE">
        <w:rPr>
          <w:rFonts w:ascii="Times New Roman" w:eastAsia="Times New Roman" w:hAnsi="Times New Roman" w:cs="Times New Roman"/>
          <w:sz w:val="24"/>
          <w:szCs w:val="24"/>
          <w:lang w:eastAsia="it-IT"/>
        </w:rPr>
        <w:t xml:space="preserve"> 54, comma 7, del d</w:t>
      </w:r>
      <w:r w:rsidRPr="007D1DFE">
        <w:rPr>
          <w:rFonts w:ascii="Times New Roman" w:eastAsia="Times New Roman" w:hAnsi="Times New Roman" w:cs="Times New Roman"/>
          <w:sz w:val="24"/>
          <w:szCs w:val="24"/>
          <w:lang w:eastAsia="it-IT"/>
        </w:rPr>
        <w:t xml:space="preserve">.lgs. </w:t>
      </w:r>
      <w:r w:rsidR="009903C3" w:rsidRPr="007D1DFE">
        <w:rPr>
          <w:rFonts w:ascii="Times New Roman" w:eastAsia="Times New Roman" w:hAnsi="Times New Roman" w:cs="Times New Roman"/>
          <w:sz w:val="24"/>
          <w:szCs w:val="24"/>
          <w:lang w:eastAsia="it-IT"/>
        </w:rPr>
        <w:t>165/2001, la pubblicazione sul sito istituzionale e la comunicazione all’A</w:t>
      </w:r>
      <w:r w:rsidRPr="007D1DFE">
        <w:rPr>
          <w:rFonts w:ascii="Times New Roman" w:eastAsia="Times New Roman" w:hAnsi="Times New Roman" w:cs="Times New Roman"/>
          <w:sz w:val="24"/>
          <w:szCs w:val="24"/>
          <w:lang w:eastAsia="it-IT"/>
        </w:rPr>
        <w:t xml:space="preserve">NAC </w:t>
      </w:r>
      <w:r w:rsidR="009903C3" w:rsidRPr="007D1DFE">
        <w:rPr>
          <w:rFonts w:ascii="Times New Roman" w:eastAsia="Times New Roman" w:hAnsi="Times New Roman" w:cs="Times New Roman"/>
          <w:sz w:val="24"/>
          <w:szCs w:val="24"/>
          <w:lang w:eastAsia="it-IT"/>
        </w:rPr>
        <w:t>dei risultati del monitoraggio</w:t>
      </w:r>
      <w:r w:rsidR="009903C3" w:rsidRPr="007D1DFE">
        <w:rPr>
          <w:rFonts w:ascii="Times New Roman" w:eastAsia="Times New Roman" w:hAnsi="Times New Roman" w:cs="Times New Roman"/>
          <w:sz w:val="24"/>
          <w:szCs w:val="24"/>
          <w:u w:val="single"/>
          <w:lang w:eastAsia="it-IT"/>
        </w:rPr>
        <w:t>;</w:t>
      </w:r>
    </w:p>
    <w:p w:rsidR="00EC4A93"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definisce le modalità di effettuazione del monitoraggio dei rapporti tra l’Amministrazione e i soggetti con i quali essa stipula contratti o che sono interessati a procedimenti di autorizzazione o concessione di benefici economici;</w:t>
      </w:r>
    </w:p>
    <w:p w:rsidR="009903C3" w:rsidRPr="007D1DFE" w:rsidRDefault="009903C3" w:rsidP="007D1DFE">
      <w:pPr>
        <w:pStyle w:val="Paragrafoelenco"/>
        <w:numPr>
          <w:ilvl w:val="0"/>
          <w:numId w:val="25"/>
        </w:numPr>
        <w:spacing w:line="240" w:lineRule="auto"/>
        <w:jc w:val="both"/>
        <w:rPr>
          <w:rFonts w:ascii="Times New Roman" w:eastAsia="Times New Roman" w:hAnsi="Times New Roman" w:cs="Times New Roman"/>
          <w:sz w:val="24"/>
          <w:szCs w:val="24"/>
          <w:lang w:eastAsia="it-IT"/>
        </w:rPr>
      </w:pPr>
      <w:r w:rsidRPr="007D1DFE">
        <w:rPr>
          <w:rFonts w:ascii="BookmanOldStyle" w:eastAsia="Times New Roman" w:hAnsi="BookmanOldStyle" w:cs="BookmanOldStyle"/>
          <w:sz w:val="24"/>
          <w:szCs w:val="24"/>
          <w:lang w:eastAsia="it-IT"/>
        </w:rPr>
        <w:t>predispone i questionari, rivolti ai dirigenti, per le periodiche attività di monitoraggio sull’attuazione del P</w:t>
      </w:r>
      <w:r w:rsidR="00EC4A93" w:rsidRPr="007D1DFE">
        <w:rPr>
          <w:rFonts w:ascii="BookmanOldStyle" w:eastAsia="Times New Roman" w:hAnsi="BookmanOldStyle" w:cs="BookmanOldStyle"/>
          <w:sz w:val="24"/>
          <w:szCs w:val="24"/>
          <w:lang w:eastAsia="it-IT"/>
        </w:rPr>
        <w:t>TPC.</w:t>
      </w:r>
    </w:p>
    <w:p w:rsidR="00783A1D"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w:t>
      </w:r>
      <w:r w:rsidR="00EC4A93" w:rsidRPr="007D1DFE">
        <w:rPr>
          <w:rFonts w:ascii="Times New Roman" w:eastAsia="Times New Roman" w:hAnsi="Times New Roman" w:cs="Times New Roman"/>
          <w:sz w:val="24"/>
          <w:szCs w:val="24"/>
          <w:lang w:eastAsia="it-IT"/>
        </w:rPr>
        <w:t>PTC,</w:t>
      </w:r>
      <w:r w:rsidRPr="007D1DFE">
        <w:rPr>
          <w:rFonts w:ascii="Times New Roman" w:eastAsia="Times New Roman" w:hAnsi="Times New Roman" w:cs="Times New Roman"/>
          <w:sz w:val="24"/>
          <w:szCs w:val="24"/>
          <w:lang w:eastAsia="it-IT"/>
        </w:rPr>
        <w:t xml:space="preserve"> </w:t>
      </w:r>
      <w:r w:rsidR="00783A1D" w:rsidRPr="007D1DFE">
        <w:rPr>
          <w:rFonts w:ascii="Times New Roman" w:eastAsia="Times New Roman" w:hAnsi="Times New Roman" w:cs="Times New Roman"/>
          <w:sz w:val="24"/>
          <w:szCs w:val="24"/>
          <w:lang w:eastAsia="it-IT"/>
        </w:rPr>
        <w:t>ai sensi dell'articolo 1, commi</w:t>
      </w:r>
      <w:r w:rsidR="00EC4A93" w:rsidRPr="007D1DFE">
        <w:rPr>
          <w:rFonts w:ascii="Times New Roman" w:eastAsia="Times New Roman" w:hAnsi="Times New Roman" w:cs="Times New Roman"/>
          <w:sz w:val="24"/>
          <w:szCs w:val="24"/>
          <w:lang w:eastAsia="it-IT"/>
        </w:rPr>
        <w:t xml:space="preserve"> 12</w:t>
      </w:r>
      <w:r w:rsidR="00783A1D" w:rsidRPr="007D1DFE">
        <w:rPr>
          <w:rFonts w:ascii="Times New Roman" w:eastAsia="Times New Roman" w:hAnsi="Times New Roman" w:cs="Times New Roman"/>
          <w:sz w:val="24"/>
          <w:szCs w:val="24"/>
          <w:lang w:eastAsia="it-IT"/>
        </w:rPr>
        <w:t xml:space="preserve"> e 13</w:t>
      </w:r>
      <w:r w:rsidR="00EC4A93" w:rsidRPr="007D1DFE">
        <w:rPr>
          <w:rFonts w:ascii="Times New Roman" w:eastAsia="Times New Roman" w:hAnsi="Times New Roman" w:cs="Times New Roman"/>
          <w:sz w:val="24"/>
          <w:szCs w:val="24"/>
          <w:lang w:eastAsia="it-IT"/>
        </w:rPr>
        <w:t xml:space="preserve"> della legge 190/2012 e per gli effetti di cui all’articolo 21 del d.lgs. 165/2001</w:t>
      </w:r>
      <w:r w:rsidR="00EC4A93" w:rsidRPr="007D1DFE">
        <w:rPr>
          <w:rStyle w:val="Rimandonotaapidipagina"/>
          <w:rFonts w:ascii="Times New Roman" w:eastAsia="Times New Roman" w:hAnsi="Times New Roman" w:cs="Times New Roman"/>
          <w:sz w:val="24"/>
          <w:szCs w:val="24"/>
          <w:lang w:eastAsia="it-IT"/>
        </w:rPr>
        <w:footnoteReference w:id="22"/>
      </w:r>
      <w:r w:rsidR="00EC4A93"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 xml:space="preserve">risponde in caso di commissione, all'interno </w:t>
      </w:r>
      <w:r w:rsidRPr="007D1DFE">
        <w:rPr>
          <w:rFonts w:ascii="Times New Roman" w:eastAsia="Times New Roman" w:hAnsi="Times New Roman" w:cs="Times New Roman"/>
          <w:sz w:val="24"/>
          <w:szCs w:val="24"/>
          <w:lang w:eastAsia="it-IT"/>
        </w:rPr>
        <w:lastRenderedPageBreak/>
        <w:t>dell'</w:t>
      </w:r>
      <w:r w:rsidR="00EC4A93"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mministrazione, di un reato di corruzione accertato con sentenza passata in giudicato e ancora sotto l’aspetto disciplinare, oltre che per il danno erariale e all'immagine della pubblica ammin</w:t>
      </w:r>
      <w:r w:rsidR="00783A1D" w:rsidRPr="007D1DFE">
        <w:rPr>
          <w:rFonts w:ascii="Times New Roman" w:eastAsia="Times New Roman" w:hAnsi="Times New Roman" w:cs="Times New Roman"/>
          <w:sz w:val="24"/>
          <w:szCs w:val="24"/>
          <w:lang w:eastAsia="it-IT"/>
        </w:rPr>
        <w:t>istrazione, salvo che provi:</w:t>
      </w:r>
    </w:p>
    <w:p w:rsidR="00783A1D" w:rsidRPr="007D1DFE" w:rsidRDefault="009903C3" w:rsidP="007D1DFE">
      <w:pPr>
        <w:pStyle w:val="Paragrafoelenco"/>
        <w:numPr>
          <w:ilvl w:val="0"/>
          <w:numId w:val="26"/>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di avere precedentemente predisposto il P</w:t>
      </w:r>
      <w:r w:rsidR="00783A1D"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e di aver osservato le prescrizioni richieste dalla normativa; </w:t>
      </w:r>
    </w:p>
    <w:p w:rsidR="009903C3" w:rsidRPr="007D1DFE" w:rsidRDefault="009903C3" w:rsidP="007D1DFE">
      <w:pPr>
        <w:pStyle w:val="Paragrafoelenco"/>
        <w:numPr>
          <w:ilvl w:val="0"/>
          <w:numId w:val="26"/>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di aver vigilato sul funzionamento e sull'osservanza del P</w:t>
      </w:r>
      <w:r w:rsidR="00783A1D"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36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w:t>
      </w:r>
      <w:r w:rsidR="00783A1D" w:rsidRPr="007D1DFE">
        <w:rPr>
          <w:rFonts w:ascii="Times New Roman" w:eastAsia="Times New Roman" w:hAnsi="Times New Roman" w:cs="Times New Roman"/>
          <w:sz w:val="24"/>
          <w:szCs w:val="24"/>
          <w:lang w:eastAsia="it-IT"/>
        </w:rPr>
        <w:t xml:space="preserve">PTC </w:t>
      </w:r>
      <w:r w:rsidRPr="007D1DFE">
        <w:rPr>
          <w:rFonts w:ascii="Times New Roman" w:eastAsia="Times New Roman" w:hAnsi="Times New Roman" w:cs="Times New Roman"/>
          <w:sz w:val="24"/>
          <w:szCs w:val="24"/>
          <w:lang w:eastAsia="it-IT"/>
        </w:rPr>
        <w:t xml:space="preserve">risponde, inoltre, sempre ai </w:t>
      </w:r>
      <w:r w:rsidR="00783A1D" w:rsidRPr="007D1DFE">
        <w:rPr>
          <w:rFonts w:ascii="Times New Roman" w:eastAsia="Times New Roman" w:hAnsi="Times New Roman" w:cs="Times New Roman"/>
          <w:sz w:val="24"/>
          <w:szCs w:val="24"/>
          <w:lang w:eastAsia="it-IT"/>
        </w:rPr>
        <w:t>sensi del citato articolo</w:t>
      </w:r>
      <w:r w:rsidRPr="007D1DFE">
        <w:rPr>
          <w:rFonts w:ascii="Times New Roman" w:eastAsia="Times New Roman" w:hAnsi="Times New Roman" w:cs="Times New Roman"/>
          <w:sz w:val="24"/>
          <w:szCs w:val="24"/>
          <w:lang w:eastAsia="it-IT"/>
        </w:rPr>
        <w:t xml:space="preserve"> 21 del d.lgs. 165/2001</w:t>
      </w:r>
      <w:r w:rsidR="00783A1D"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nell’eventualità di ripetute violazioni delle misure di prevenzione previste dal P</w:t>
      </w:r>
      <w:r w:rsidR="00783A1D" w:rsidRPr="007D1DFE">
        <w:rPr>
          <w:rFonts w:ascii="Times New Roman" w:eastAsia="Times New Roman" w:hAnsi="Times New Roman" w:cs="Times New Roman"/>
          <w:sz w:val="24"/>
          <w:szCs w:val="24"/>
          <w:lang w:eastAsia="it-IT"/>
        </w:rPr>
        <w:t>TPC nonché</w:t>
      </w:r>
      <w:r w:rsidRPr="007D1DFE">
        <w:rPr>
          <w:rFonts w:ascii="Times New Roman" w:eastAsia="Times New Roman" w:hAnsi="Times New Roman" w:cs="Times New Roman"/>
          <w:sz w:val="24"/>
          <w:szCs w:val="24"/>
          <w:lang w:eastAsia="it-IT"/>
        </w:rPr>
        <w:t xml:space="preserve"> per omesso controllo</w:t>
      </w:r>
      <w:r w:rsidR="00783A1D" w:rsidRPr="007D1DFE">
        <w:rPr>
          <w:rFonts w:ascii="Times New Roman" w:eastAsia="Times New Roman" w:hAnsi="Times New Roman" w:cs="Times New Roman"/>
          <w:sz w:val="24"/>
          <w:szCs w:val="24"/>
          <w:lang w:eastAsia="it-IT"/>
        </w:rPr>
        <w:t xml:space="preserve"> sull’attuazione delle stesse</w:t>
      </w:r>
      <w:r w:rsidRPr="007D1DFE">
        <w:rPr>
          <w:rFonts w:ascii="Times New Roman" w:eastAsia="Times New Roman" w:hAnsi="Times New Roman" w:cs="Times New Roman"/>
          <w:sz w:val="24"/>
          <w:szCs w:val="24"/>
          <w:lang w:eastAsia="it-IT"/>
        </w:rPr>
        <w:t>, salvo che provi di avere comunicato agli uffici le misure da adottare e le relative modalità e di aver vigilato sull’osservanza del</w:t>
      </w:r>
      <w:r w:rsidR="00783A1D" w:rsidRPr="007D1DFE">
        <w:rPr>
          <w:rFonts w:ascii="Times New Roman" w:eastAsia="Times New Roman" w:hAnsi="Times New Roman" w:cs="Times New Roman"/>
          <w:sz w:val="24"/>
          <w:szCs w:val="24"/>
          <w:lang w:eastAsia="it-IT"/>
        </w:rPr>
        <w:t>lo stesso</w:t>
      </w:r>
      <w:r w:rsidRPr="007D1DFE">
        <w:rPr>
          <w:rFonts w:ascii="Times New Roman" w:eastAsia="Times New Roman" w:hAnsi="Times New Roman" w:cs="Times New Roman"/>
          <w:sz w:val="24"/>
          <w:szCs w:val="24"/>
          <w:lang w:eastAsia="it-IT"/>
        </w:rPr>
        <w:t xml:space="preserve"> </w:t>
      </w:r>
      <w:r w:rsidR="00896E6B" w:rsidRPr="007D1DFE">
        <w:rPr>
          <w:rFonts w:ascii="Times New Roman" w:eastAsia="Times New Roman" w:hAnsi="Times New Roman" w:cs="Times New Roman"/>
          <w:sz w:val="24"/>
          <w:szCs w:val="24"/>
          <w:lang w:eastAsia="it-IT"/>
        </w:rPr>
        <w:t>PTPC</w:t>
      </w:r>
      <w:r w:rsidR="00783A1D"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Nel caso in cui nello svolgimento della sua attività emergano fatti</w:t>
      </w:r>
      <w:r w:rsidR="00A3772C" w:rsidRPr="007D1DFE">
        <w:rPr>
          <w:rFonts w:ascii="Times New Roman" w:eastAsia="Times New Roman" w:hAnsi="Times New Roman" w:cs="Times New Roman"/>
          <w:sz w:val="24"/>
          <w:szCs w:val="24"/>
          <w:lang w:eastAsia="it-IT"/>
        </w:rPr>
        <w:t>/condotte</w:t>
      </w:r>
      <w:r w:rsidRPr="007D1DFE">
        <w:rPr>
          <w:rFonts w:ascii="Times New Roman" w:eastAsia="Times New Roman" w:hAnsi="Times New Roman" w:cs="Times New Roman"/>
          <w:sz w:val="24"/>
          <w:szCs w:val="24"/>
          <w:lang w:eastAsia="it-IT"/>
        </w:rPr>
        <w:t xml:space="preserve"> </w:t>
      </w:r>
      <w:r w:rsidR="00A3772C" w:rsidRPr="007D1DFE">
        <w:rPr>
          <w:rFonts w:ascii="Times New Roman" w:eastAsia="Times New Roman" w:hAnsi="Times New Roman" w:cs="Times New Roman"/>
          <w:sz w:val="24"/>
          <w:szCs w:val="24"/>
          <w:lang w:eastAsia="it-IT"/>
        </w:rPr>
        <w:t xml:space="preserve">che possono presentare rilevanza disciplinare posti in essere da un dipendente </w:t>
      </w:r>
      <w:r w:rsidRPr="007D1DFE">
        <w:rPr>
          <w:rFonts w:ascii="Times New Roman" w:eastAsia="Times New Roman" w:hAnsi="Times New Roman" w:cs="Times New Roman"/>
          <w:sz w:val="24"/>
          <w:szCs w:val="24"/>
          <w:lang w:eastAsia="it-IT"/>
        </w:rPr>
        <w:t>è tenuto a darne tempestiva informazione al dirigente preposto all</w:t>
      </w:r>
      <w:r w:rsidR="00A3772C" w:rsidRPr="007D1DFE">
        <w:rPr>
          <w:rFonts w:ascii="Times New Roman" w:eastAsia="Times New Roman" w:hAnsi="Times New Roman" w:cs="Times New Roman"/>
          <w:sz w:val="24"/>
          <w:szCs w:val="24"/>
          <w:lang w:eastAsia="it-IT"/>
        </w:rPr>
        <w:t>a struttura</w:t>
      </w:r>
      <w:r w:rsidRPr="007D1DFE">
        <w:rPr>
          <w:rFonts w:ascii="Times New Roman" w:eastAsia="Times New Roman" w:hAnsi="Times New Roman" w:cs="Times New Roman"/>
          <w:sz w:val="24"/>
          <w:szCs w:val="24"/>
          <w:lang w:eastAsia="it-IT"/>
        </w:rPr>
        <w:t xml:space="preserve"> a cui </w:t>
      </w:r>
      <w:r w:rsidR="00A3772C" w:rsidRPr="007D1DFE">
        <w:rPr>
          <w:rFonts w:ascii="Times New Roman" w:eastAsia="Times New Roman" w:hAnsi="Times New Roman" w:cs="Times New Roman"/>
          <w:sz w:val="24"/>
          <w:szCs w:val="24"/>
          <w:lang w:eastAsia="it-IT"/>
        </w:rPr>
        <w:t xml:space="preserve">lo stesso </w:t>
      </w:r>
      <w:r w:rsidRPr="007D1DFE">
        <w:rPr>
          <w:rFonts w:ascii="Times New Roman" w:eastAsia="Times New Roman" w:hAnsi="Times New Roman" w:cs="Times New Roman"/>
          <w:sz w:val="24"/>
          <w:szCs w:val="24"/>
          <w:lang w:eastAsia="it-IT"/>
        </w:rPr>
        <w:t xml:space="preserve">dipendente è </w:t>
      </w:r>
      <w:r w:rsidR="00A3772C" w:rsidRPr="007D1DFE">
        <w:rPr>
          <w:rFonts w:ascii="Times New Roman" w:eastAsia="Times New Roman" w:hAnsi="Times New Roman" w:cs="Times New Roman"/>
          <w:sz w:val="24"/>
          <w:szCs w:val="24"/>
          <w:lang w:eastAsia="it-IT"/>
        </w:rPr>
        <w:t>assegnato;</w:t>
      </w:r>
      <w:r w:rsidRPr="007D1DFE">
        <w:rPr>
          <w:rFonts w:ascii="Times New Roman" w:eastAsia="Times New Roman" w:hAnsi="Times New Roman" w:cs="Times New Roman"/>
          <w:sz w:val="24"/>
          <w:szCs w:val="24"/>
          <w:lang w:eastAsia="it-IT"/>
        </w:rPr>
        <w:t xml:space="preserve"> se </w:t>
      </w:r>
      <w:r w:rsidR="00A3772C" w:rsidRPr="007D1DFE">
        <w:rPr>
          <w:rFonts w:ascii="Times New Roman" w:eastAsia="Times New Roman" w:hAnsi="Times New Roman" w:cs="Times New Roman"/>
          <w:sz w:val="24"/>
          <w:szCs w:val="24"/>
          <w:lang w:eastAsia="it-IT"/>
        </w:rPr>
        <w:t xml:space="preserve">gli stessi fatti/condotte sono posti in essere da un </w:t>
      </w:r>
      <w:r w:rsidRPr="007D1DFE">
        <w:rPr>
          <w:rFonts w:ascii="Times New Roman" w:eastAsia="Times New Roman" w:hAnsi="Times New Roman" w:cs="Times New Roman"/>
          <w:sz w:val="24"/>
          <w:szCs w:val="24"/>
          <w:lang w:eastAsia="it-IT"/>
        </w:rPr>
        <w:t xml:space="preserve">dirigente, </w:t>
      </w:r>
      <w:r w:rsidR="00A3772C" w:rsidRPr="007D1DFE">
        <w:rPr>
          <w:rFonts w:ascii="Times New Roman" w:eastAsia="Times New Roman" w:hAnsi="Times New Roman" w:cs="Times New Roman"/>
          <w:sz w:val="24"/>
          <w:szCs w:val="24"/>
          <w:lang w:eastAsia="it-IT"/>
        </w:rPr>
        <w:t xml:space="preserve">la tempestiva informazione è data </w:t>
      </w:r>
      <w:r w:rsidRPr="007D1DFE">
        <w:rPr>
          <w:rFonts w:ascii="Times New Roman" w:eastAsia="Times New Roman" w:hAnsi="Times New Roman" w:cs="Times New Roman"/>
          <w:sz w:val="24"/>
          <w:szCs w:val="24"/>
          <w:lang w:eastAsia="it-IT"/>
        </w:rPr>
        <w:t xml:space="preserve">al dirigente </w:t>
      </w:r>
      <w:r w:rsidR="00A3772C" w:rsidRPr="007D1DFE">
        <w:rPr>
          <w:rFonts w:ascii="Times New Roman" w:eastAsia="Times New Roman" w:hAnsi="Times New Roman" w:cs="Times New Roman"/>
          <w:sz w:val="24"/>
          <w:szCs w:val="24"/>
          <w:lang w:eastAsia="it-IT"/>
        </w:rPr>
        <w:t xml:space="preserve">allo stesso </w:t>
      </w:r>
      <w:r w:rsidRPr="007D1DFE">
        <w:rPr>
          <w:rFonts w:ascii="Times New Roman" w:eastAsia="Times New Roman" w:hAnsi="Times New Roman" w:cs="Times New Roman"/>
          <w:sz w:val="24"/>
          <w:szCs w:val="24"/>
          <w:lang w:eastAsia="it-IT"/>
        </w:rPr>
        <w:t>sovraordinato</w:t>
      </w:r>
      <w:r w:rsidR="00A3772C" w:rsidRPr="007D1DFE">
        <w:rPr>
          <w:rFonts w:ascii="Times New Roman" w:eastAsia="Times New Roman" w:hAnsi="Times New Roman" w:cs="Times New Roman"/>
          <w:sz w:val="24"/>
          <w:szCs w:val="24"/>
          <w:lang w:eastAsia="it-IT"/>
        </w:rPr>
        <w:t>. In entrambi i casi l’informazione è fornita anche a</w:t>
      </w:r>
      <w:r w:rsidRPr="007D1DFE">
        <w:rPr>
          <w:rFonts w:ascii="Times New Roman" w:eastAsia="Times New Roman" w:hAnsi="Times New Roman" w:cs="Times New Roman"/>
          <w:sz w:val="24"/>
          <w:szCs w:val="24"/>
          <w:lang w:eastAsia="it-IT"/>
        </w:rPr>
        <w:t xml:space="preserve">ll'ufficio procedimenti disciplinari affinché possa essere avviata, con tempestività, l'azione disciplinare. </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Ove riscontri dei fatti suscettibili di dar luogo a responsabilità amministrativa</w:t>
      </w:r>
      <w:r w:rsidR="008201AA" w:rsidRPr="007D1DFE">
        <w:rPr>
          <w:rFonts w:ascii="Times New Roman" w:eastAsia="Times New Roman" w:hAnsi="Times New Roman" w:cs="Times New Roman"/>
          <w:sz w:val="24"/>
          <w:szCs w:val="24"/>
          <w:lang w:eastAsia="it-IT"/>
        </w:rPr>
        <w:t>, il RPCT</w:t>
      </w:r>
      <w:r w:rsidRPr="007D1DFE">
        <w:rPr>
          <w:rFonts w:ascii="Times New Roman" w:eastAsia="Times New Roman" w:hAnsi="Times New Roman" w:cs="Times New Roman"/>
          <w:sz w:val="24"/>
          <w:szCs w:val="24"/>
          <w:lang w:eastAsia="it-IT"/>
        </w:rPr>
        <w:t xml:space="preserve"> deve presentare tempestiva denuncia alla competente Procura </w:t>
      </w:r>
      <w:r w:rsidR="008201AA" w:rsidRPr="007D1DFE">
        <w:rPr>
          <w:rFonts w:ascii="Times New Roman" w:eastAsia="Times New Roman" w:hAnsi="Times New Roman" w:cs="Times New Roman"/>
          <w:sz w:val="24"/>
          <w:szCs w:val="24"/>
          <w:lang w:eastAsia="it-IT"/>
        </w:rPr>
        <w:t xml:space="preserve">regionale </w:t>
      </w:r>
      <w:r w:rsidRPr="007D1DFE">
        <w:rPr>
          <w:rFonts w:ascii="Times New Roman" w:eastAsia="Times New Roman" w:hAnsi="Times New Roman" w:cs="Times New Roman"/>
          <w:sz w:val="24"/>
          <w:szCs w:val="24"/>
          <w:lang w:eastAsia="it-IT"/>
        </w:rPr>
        <w:t xml:space="preserve">della Corte dei conti per le eventuali iniziative in ordine all’accertamento del danno erariale (art. 20 </w:t>
      </w:r>
      <w:r w:rsidR="008201AA" w:rsidRPr="007D1DFE">
        <w:rPr>
          <w:rFonts w:ascii="Times New Roman" w:eastAsia="Times New Roman" w:hAnsi="Times New Roman" w:cs="Times New Roman"/>
          <w:sz w:val="24"/>
          <w:szCs w:val="24"/>
          <w:lang w:eastAsia="it-IT"/>
        </w:rPr>
        <w:t xml:space="preserve">del </w:t>
      </w:r>
      <w:r w:rsidRPr="007D1DFE">
        <w:rPr>
          <w:rFonts w:ascii="Times New Roman" w:eastAsia="Times New Roman" w:hAnsi="Times New Roman" w:cs="Times New Roman"/>
          <w:sz w:val="24"/>
          <w:szCs w:val="24"/>
          <w:lang w:eastAsia="it-IT"/>
        </w:rPr>
        <w:t>d.P.R.</w:t>
      </w:r>
      <w:r w:rsidR="008201AA" w:rsidRPr="007D1DFE">
        <w:rPr>
          <w:rFonts w:ascii="Times New Roman" w:eastAsia="Times New Roman" w:hAnsi="Times New Roman" w:cs="Times New Roman"/>
          <w:sz w:val="24"/>
          <w:szCs w:val="24"/>
          <w:lang w:eastAsia="it-IT"/>
        </w:rPr>
        <w:t xml:space="preserve"> 3/</w:t>
      </w:r>
      <w:r w:rsidRPr="007D1DFE">
        <w:rPr>
          <w:rFonts w:ascii="Times New Roman" w:eastAsia="Times New Roman" w:hAnsi="Times New Roman" w:cs="Times New Roman"/>
          <w:sz w:val="24"/>
          <w:szCs w:val="24"/>
          <w:lang w:eastAsia="it-IT"/>
        </w:rPr>
        <w:t xml:space="preserve">1957 </w:t>
      </w:r>
      <w:r w:rsidRPr="007D1DFE">
        <w:rPr>
          <w:rFonts w:ascii="Times New Roman" w:eastAsia="Times New Roman" w:hAnsi="Times New Roman" w:cs="Times New Roman"/>
          <w:sz w:val="24"/>
          <w:szCs w:val="24"/>
          <w:vertAlign w:val="superscript"/>
          <w:lang w:eastAsia="it-IT"/>
        </w:rPr>
        <w:footnoteReference w:id="23"/>
      </w:r>
      <w:r w:rsidRPr="007D1DFE">
        <w:rPr>
          <w:rFonts w:ascii="Times New Roman" w:eastAsia="Times New Roman" w:hAnsi="Times New Roman" w:cs="Times New Roman"/>
          <w:sz w:val="24"/>
          <w:szCs w:val="24"/>
          <w:lang w:eastAsia="it-IT"/>
        </w:rPr>
        <w:t>; art. 1, co</w:t>
      </w:r>
      <w:r w:rsidR="008201AA"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3, della l</w:t>
      </w:r>
      <w:r w:rsidR="008201AA" w:rsidRPr="007D1DFE">
        <w:rPr>
          <w:rFonts w:ascii="Times New Roman" w:eastAsia="Times New Roman" w:hAnsi="Times New Roman" w:cs="Times New Roman"/>
          <w:sz w:val="24"/>
          <w:szCs w:val="24"/>
          <w:lang w:eastAsia="it-IT"/>
        </w:rPr>
        <w:t>. 20/</w:t>
      </w:r>
      <w:r w:rsidRPr="007D1DFE">
        <w:rPr>
          <w:rFonts w:ascii="Times New Roman" w:eastAsia="Times New Roman" w:hAnsi="Times New Roman" w:cs="Times New Roman"/>
          <w:sz w:val="24"/>
          <w:szCs w:val="24"/>
          <w:lang w:eastAsia="it-IT"/>
        </w:rPr>
        <w:t>1994</w:t>
      </w:r>
      <w:r w:rsidRPr="007D1DFE">
        <w:rPr>
          <w:rFonts w:ascii="Times New Roman" w:eastAsia="Times New Roman" w:hAnsi="Times New Roman" w:cs="Times New Roman"/>
          <w:bCs/>
          <w:sz w:val="25"/>
          <w:szCs w:val="25"/>
          <w:vertAlign w:val="superscript"/>
          <w:lang w:eastAsia="it-IT"/>
        </w:rPr>
        <w:footnoteReference w:id="24"/>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Nel caso in cui rilevi fatti che rappresentano notizia di reato, è ten</w:t>
      </w:r>
      <w:r w:rsidR="00837876" w:rsidRPr="007D1DFE">
        <w:rPr>
          <w:rFonts w:ascii="Times New Roman" w:eastAsia="Times New Roman" w:hAnsi="Times New Roman" w:cs="Times New Roman"/>
          <w:sz w:val="24"/>
          <w:szCs w:val="24"/>
          <w:lang w:eastAsia="it-IT"/>
        </w:rPr>
        <w:t>uto a presentare denuncia alla competente P</w:t>
      </w:r>
      <w:r w:rsidRPr="007D1DFE">
        <w:rPr>
          <w:rFonts w:ascii="Times New Roman" w:eastAsia="Times New Roman" w:hAnsi="Times New Roman" w:cs="Times New Roman"/>
          <w:sz w:val="24"/>
          <w:szCs w:val="24"/>
          <w:lang w:eastAsia="it-IT"/>
        </w:rPr>
        <w:t>rocura della Repubblica o a un ufficiale di polizia giudiziaria con le modalità previste dalla legge (art. 331 c.p.p.) e deve dar</w:t>
      </w:r>
      <w:r w:rsidR="00837876" w:rsidRPr="007D1DFE">
        <w:rPr>
          <w:rFonts w:ascii="Times New Roman" w:eastAsia="Times New Roman" w:hAnsi="Times New Roman" w:cs="Times New Roman"/>
          <w:sz w:val="24"/>
          <w:szCs w:val="24"/>
          <w:lang w:eastAsia="it-IT"/>
        </w:rPr>
        <w:t>ne tempestiva informazione all'ANAC.</w:t>
      </w:r>
      <w:r w:rsidRPr="007D1DFE">
        <w:rPr>
          <w:rFonts w:ascii="Times New Roman" w:eastAsia="Times New Roman" w:hAnsi="Times New Roman" w:cs="Times New Roman"/>
          <w:sz w:val="24"/>
          <w:szCs w:val="24"/>
          <w:lang w:eastAsia="it-IT"/>
        </w:rPr>
        <w:tab/>
      </w:r>
    </w:p>
    <w:p w:rsidR="008249C0" w:rsidRPr="007D1DFE" w:rsidRDefault="00F32860"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Sul ruolo e i poteri del R</w:t>
      </w:r>
      <w:r w:rsidR="00837876" w:rsidRPr="007D1DFE">
        <w:rPr>
          <w:rFonts w:ascii="Times New Roman" w:eastAsia="Times New Roman" w:hAnsi="Times New Roman" w:cs="Times New Roman"/>
          <w:sz w:val="24"/>
          <w:szCs w:val="24"/>
          <w:lang w:eastAsia="it-IT"/>
        </w:rPr>
        <w:t>PCT</w:t>
      </w:r>
      <w:r w:rsidRPr="007D1DFE">
        <w:rPr>
          <w:rFonts w:ascii="Times New Roman" w:eastAsia="Times New Roman" w:hAnsi="Times New Roman" w:cs="Times New Roman"/>
          <w:sz w:val="24"/>
          <w:szCs w:val="24"/>
          <w:lang w:eastAsia="it-IT"/>
        </w:rPr>
        <w:t xml:space="preserve">, l’ANAC ha recentemente adottato la delibera 2 ottobre 2018, </w:t>
      </w:r>
      <w:r w:rsidR="00837876" w:rsidRPr="007D1DFE">
        <w:rPr>
          <w:rFonts w:ascii="Times New Roman" w:eastAsia="Times New Roman" w:hAnsi="Times New Roman" w:cs="Times New Roman"/>
          <w:sz w:val="24"/>
          <w:szCs w:val="24"/>
          <w:lang w:eastAsia="it-IT"/>
        </w:rPr>
        <w:t xml:space="preserve">n. 840, </w:t>
      </w:r>
      <w:r w:rsidRPr="007D1DFE">
        <w:rPr>
          <w:rFonts w:ascii="Times New Roman" w:eastAsia="Times New Roman" w:hAnsi="Times New Roman" w:cs="Times New Roman"/>
          <w:sz w:val="24"/>
          <w:szCs w:val="24"/>
          <w:lang w:eastAsia="it-IT"/>
        </w:rPr>
        <w:t xml:space="preserve">mentre </w:t>
      </w:r>
      <w:r w:rsidR="00837876" w:rsidRPr="007D1DFE">
        <w:rPr>
          <w:rFonts w:ascii="Times New Roman" w:eastAsia="Times New Roman" w:hAnsi="Times New Roman" w:cs="Times New Roman"/>
          <w:sz w:val="24"/>
          <w:szCs w:val="24"/>
          <w:lang w:eastAsia="it-IT"/>
        </w:rPr>
        <w:t>relativamente a</w:t>
      </w:r>
      <w:r w:rsidRPr="007D1DFE">
        <w:rPr>
          <w:rFonts w:ascii="Times New Roman" w:eastAsia="Times New Roman" w:hAnsi="Times New Roman" w:cs="Times New Roman"/>
          <w:sz w:val="24"/>
          <w:szCs w:val="24"/>
          <w:lang w:eastAsia="it-IT"/>
        </w:rPr>
        <w:t>i poteri conferiti al</w:t>
      </w:r>
      <w:r w:rsidR="00837876" w:rsidRPr="007D1DFE">
        <w:rPr>
          <w:rFonts w:ascii="Times New Roman" w:eastAsia="Times New Roman" w:hAnsi="Times New Roman" w:cs="Times New Roman"/>
          <w:sz w:val="24"/>
          <w:szCs w:val="24"/>
          <w:lang w:eastAsia="it-IT"/>
        </w:rPr>
        <w:t xml:space="preserve">lo stesso </w:t>
      </w:r>
      <w:r w:rsidRPr="007D1DFE">
        <w:rPr>
          <w:rFonts w:ascii="Times New Roman" w:eastAsia="Times New Roman" w:hAnsi="Times New Roman" w:cs="Times New Roman"/>
          <w:sz w:val="24"/>
          <w:szCs w:val="24"/>
          <w:lang w:eastAsia="it-IT"/>
        </w:rPr>
        <w:t>per l’accertamento delle inconferibilità e incompatibilità di incarichi</w:t>
      </w:r>
      <w:r w:rsidR="00837876" w:rsidRPr="007D1DFE">
        <w:rPr>
          <w:rFonts w:ascii="Times New Roman" w:eastAsia="Times New Roman" w:hAnsi="Times New Roman" w:cs="Times New Roman"/>
          <w:sz w:val="24"/>
          <w:szCs w:val="24"/>
          <w:lang w:eastAsia="it-IT"/>
        </w:rPr>
        <w:t xml:space="preserve">, ha </w:t>
      </w:r>
      <w:r w:rsidRPr="007D1DFE">
        <w:rPr>
          <w:rFonts w:ascii="Times New Roman" w:eastAsia="Times New Roman" w:hAnsi="Times New Roman" w:cs="Times New Roman"/>
          <w:sz w:val="24"/>
          <w:szCs w:val="24"/>
          <w:lang w:eastAsia="it-IT"/>
        </w:rPr>
        <w:t xml:space="preserve">rinviato alla </w:t>
      </w:r>
      <w:r w:rsidR="00837876" w:rsidRPr="007D1DFE">
        <w:rPr>
          <w:rFonts w:ascii="Times New Roman" w:eastAsia="Times New Roman" w:hAnsi="Times New Roman" w:cs="Times New Roman"/>
          <w:sz w:val="24"/>
          <w:szCs w:val="24"/>
          <w:lang w:eastAsia="it-IT"/>
        </w:rPr>
        <w:t>d</w:t>
      </w:r>
      <w:r w:rsidRPr="007D1DFE">
        <w:rPr>
          <w:rFonts w:ascii="Times New Roman" w:eastAsia="Times New Roman" w:hAnsi="Times New Roman" w:cs="Times New Roman"/>
          <w:sz w:val="24"/>
          <w:szCs w:val="24"/>
          <w:lang w:eastAsia="it-IT"/>
        </w:rPr>
        <w:t xml:space="preserve">elibera </w:t>
      </w:r>
      <w:r w:rsidR="00837876" w:rsidRPr="007D1DFE">
        <w:rPr>
          <w:rFonts w:ascii="Times New Roman" w:eastAsia="Times New Roman" w:hAnsi="Times New Roman" w:cs="Times New Roman"/>
          <w:sz w:val="24"/>
          <w:szCs w:val="24"/>
          <w:lang w:eastAsia="it-IT"/>
        </w:rPr>
        <w:t xml:space="preserve">n. </w:t>
      </w:r>
      <w:r w:rsidRPr="007D1DFE">
        <w:rPr>
          <w:rFonts w:ascii="Times New Roman" w:eastAsia="Times New Roman" w:hAnsi="Times New Roman" w:cs="Times New Roman"/>
          <w:sz w:val="24"/>
          <w:szCs w:val="24"/>
          <w:lang w:eastAsia="it-IT"/>
        </w:rPr>
        <w:t>833/2016</w:t>
      </w:r>
      <w:r w:rsidR="00585862" w:rsidRPr="007D1DFE">
        <w:rPr>
          <w:rFonts w:ascii="Times New Roman" w:eastAsia="Times New Roman" w:hAnsi="Times New Roman" w:cs="Times New Roman"/>
          <w:sz w:val="24"/>
          <w:szCs w:val="24"/>
          <w:lang w:eastAsia="it-IT"/>
        </w:rPr>
        <w:t xml:space="preserve">. Il più recente </w:t>
      </w:r>
      <w:r w:rsidRPr="007D1DFE">
        <w:rPr>
          <w:rFonts w:ascii="Times New Roman" w:eastAsia="Times New Roman" w:hAnsi="Times New Roman" w:cs="Times New Roman"/>
          <w:sz w:val="24"/>
          <w:szCs w:val="24"/>
          <w:lang w:eastAsia="it-IT"/>
        </w:rPr>
        <w:t xml:space="preserve">Aggiornamento al </w:t>
      </w:r>
      <w:r w:rsidRPr="007D1DFE">
        <w:rPr>
          <w:rFonts w:ascii="Times New Roman" w:eastAsia="Times New Roman" w:hAnsi="Times New Roman" w:cs="Times New Roman"/>
          <w:sz w:val="24"/>
          <w:szCs w:val="24"/>
          <w:lang w:eastAsia="it-IT"/>
        </w:rPr>
        <w:lastRenderedPageBreak/>
        <w:t>PNA</w:t>
      </w:r>
      <w:r w:rsidR="00837876" w:rsidRPr="007D1DFE">
        <w:rPr>
          <w:rFonts w:ascii="Times New Roman" w:eastAsia="Times New Roman" w:hAnsi="Times New Roman" w:cs="Times New Roman"/>
          <w:sz w:val="24"/>
          <w:szCs w:val="24"/>
          <w:lang w:eastAsia="it-IT"/>
        </w:rPr>
        <w:t xml:space="preserve"> (</w:t>
      </w:r>
      <w:r w:rsidR="00C5140D" w:rsidRPr="007D1DFE">
        <w:rPr>
          <w:rFonts w:ascii="Times New Roman" w:eastAsia="Times New Roman" w:hAnsi="Times New Roman" w:cs="Times New Roman"/>
          <w:sz w:val="24"/>
          <w:szCs w:val="24"/>
          <w:lang w:eastAsia="it-IT"/>
        </w:rPr>
        <w:t>d</w:t>
      </w:r>
      <w:r w:rsidRPr="007D1DFE">
        <w:rPr>
          <w:rFonts w:ascii="Times New Roman" w:eastAsia="Times New Roman" w:hAnsi="Times New Roman" w:cs="Times New Roman"/>
          <w:sz w:val="24"/>
          <w:szCs w:val="24"/>
          <w:lang w:eastAsia="it-IT"/>
        </w:rPr>
        <w:t>elibera n. 1074</w:t>
      </w:r>
      <w:r w:rsidR="00837876" w:rsidRPr="007D1DFE">
        <w:rPr>
          <w:rFonts w:ascii="Times New Roman" w:eastAsia="Times New Roman" w:hAnsi="Times New Roman" w:cs="Times New Roman"/>
          <w:sz w:val="24"/>
          <w:szCs w:val="24"/>
          <w:lang w:eastAsia="it-IT"/>
        </w:rPr>
        <w:t>/</w:t>
      </w:r>
      <w:r w:rsidR="00585862" w:rsidRPr="007D1DFE">
        <w:rPr>
          <w:rFonts w:ascii="Times New Roman" w:eastAsia="Times New Roman" w:hAnsi="Times New Roman" w:cs="Times New Roman"/>
          <w:sz w:val="24"/>
          <w:szCs w:val="24"/>
          <w:lang w:eastAsia="it-IT"/>
        </w:rPr>
        <w:t>2018</w:t>
      </w:r>
      <w:r w:rsidR="00837876" w:rsidRPr="007D1DFE">
        <w:rPr>
          <w:rFonts w:ascii="Times New Roman" w:eastAsia="Times New Roman" w:hAnsi="Times New Roman" w:cs="Times New Roman"/>
          <w:sz w:val="24"/>
          <w:szCs w:val="24"/>
          <w:lang w:eastAsia="it-IT"/>
        </w:rPr>
        <w:t>)</w:t>
      </w:r>
      <w:r w:rsidR="00585862" w:rsidRPr="007D1DFE">
        <w:rPr>
          <w:rFonts w:ascii="Times New Roman" w:eastAsia="Times New Roman" w:hAnsi="Times New Roman" w:cs="Times New Roman"/>
          <w:sz w:val="24"/>
          <w:szCs w:val="24"/>
          <w:lang w:eastAsia="it-IT"/>
        </w:rPr>
        <w:t xml:space="preserve">, </w:t>
      </w:r>
      <w:r w:rsidR="00837876" w:rsidRPr="007D1DFE">
        <w:rPr>
          <w:rFonts w:ascii="Times New Roman" w:eastAsia="Times New Roman" w:hAnsi="Times New Roman" w:cs="Times New Roman"/>
          <w:sz w:val="24"/>
          <w:szCs w:val="24"/>
          <w:lang w:eastAsia="it-IT"/>
        </w:rPr>
        <w:t>nel richiamare i menzionati atti (la d</w:t>
      </w:r>
      <w:r w:rsidR="00585862" w:rsidRPr="007D1DFE">
        <w:rPr>
          <w:rFonts w:ascii="Times New Roman" w:eastAsia="Times New Roman" w:hAnsi="Times New Roman" w:cs="Times New Roman"/>
          <w:sz w:val="24"/>
          <w:szCs w:val="24"/>
          <w:lang w:eastAsia="it-IT"/>
        </w:rPr>
        <w:t xml:space="preserve">elibera </w:t>
      </w:r>
      <w:r w:rsidR="00837876" w:rsidRPr="007D1DFE">
        <w:rPr>
          <w:rFonts w:ascii="Times New Roman" w:eastAsia="Times New Roman" w:hAnsi="Times New Roman" w:cs="Times New Roman"/>
          <w:sz w:val="24"/>
          <w:szCs w:val="24"/>
          <w:lang w:eastAsia="it-IT"/>
        </w:rPr>
        <w:t xml:space="preserve">n. </w:t>
      </w:r>
      <w:r w:rsidR="00585862" w:rsidRPr="007D1DFE">
        <w:rPr>
          <w:rFonts w:ascii="Times New Roman" w:eastAsia="Times New Roman" w:hAnsi="Times New Roman" w:cs="Times New Roman"/>
          <w:sz w:val="24"/>
          <w:szCs w:val="24"/>
          <w:lang w:eastAsia="it-IT"/>
        </w:rPr>
        <w:t xml:space="preserve">840/2018 costituisce l’Allegato 2 </w:t>
      </w:r>
      <w:r w:rsidR="00837876" w:rsidRPr="007D1DFE">
        <w:rPr>
          <w:rFonts w:ascii="Times New Roman" w:eastAsia="Times New Roman" w:hAnsi="Times New Roman" w:cs="Times New Roman"/>
          <w:sz w:val="24"/>
          <w:szCs w:val="24"/>
          <w:lang w:eastAsia="it-IT"/>
        </w:rPr>
        <w:t>a</w:t>
      </w:r>
      <w:r w:rsidR="00585862" w:rsidRPr="007D1DFE">
        <w:rPr>
          <w:rFonts w:ascii="Times New Roman" w:eastAsia="Times New Roman" w:hAnsi="Times New Roman" w:cs="Times New Roman"/>
          <w:sz w:val="24"/>
          <w:szCs w:val="24"/>
          <w:lang w:eastAsia="it-IT"/>
        </w:rPr>
        <w:t>llo stesso PNA 2018</w:t>
      </w:r>
      <w:r w:rsidR="00837876" w:rsidRPr="007D1DFE">
        <w:rPr>
          <w:rFonts w:ascii="Times New Roman" w:eastAsia="Times New Roman" w:hAnsi="Times New Roman" w:cs="Times New Roman"/>
          <w:sz w:val="24"/>
          <w:szCs w:val="24"/>
          <w:lang w:eastAsia="it-IT"/>
        </w:rPr>
        <w:t>,</w:t>
      </w:r>
      <w:r w:rsidR="00616FB4" w:rsidRPr="007D1DFE">
        <w:rPr>
          <w:rFonts w:ascii="Times New Roman" w:eastAsia="Times New Roman" w:hAnsi="Times New Roman" w:cs="Times New Roman"/>
          <w:sz w:val="24"/>
          <w:szCs w:val="24"/>
          <w:lang w:eastAsia="it-IT"/>
        </w:rPr>
        <w:t xml:space="preserve"> mentre l’Allegato 1 è rappresentato da un prospetto ricostruttivo dei riferimenti normativi sul ruolo e sulle funzioni del RPCT</w:t>
      </w:r>
      <w:r w:rsidR="00585862" w:rsidRPr="007D1DFE">
        <w:rPr>
          <w:rFonts w:ascii="Times New Roman" w:eastAsia="Times New Roman" w:hAnsi="Times New Roman" w:cs="Times New Roman"/>
          <w:sz w:val="24"/>
          <w:szCs w:val="24"/>
          <w:lang w:eastAsia="it-IT"/>
        </w:rPr>
        <w:t>) si sofferma, nel paragrafo 4.2, sui rapporti tra ANAC e RPCT, essendo quest’ultimo il soggetto con cui l</w:t>
      </w:r>
      <w:r w:rsidR="00837876" w:rsidRPr="007D1DFE">
        <w:rPr>
          <w:rFonts w:ascii="Times New Roman" w:eastAsia="Times New Roman" w:hAnsi="Times New Roman" w:cs="Times New Roman"/>
          <w:sz w:val="24"/>
          <w:szCs w:val="24"/>
          <w:lang w:eastAsia="it-IT"/>
        </w:rPr>
        <w:t xml:space="preserve">a stessa </w:t>
      </w:r>
      <w:r w:rsidR="00585862" w:rsidRPr="007D1DFE">
        <w:rPr>
          <w:rFonts w:ascii="Times New Roman" w:eastAsia="Times New Roman" w:hAnsi="Times New Roman" w:cs="Times New Roman"/>
          <w:sz w:val="24"/>
          <w:szCs w:val="24"/>
          <w:lang w:eastAsia="it-IT"/>
        </w:rPr>
        <w:t xml:space="preserve">Autorità </w:t>
      </w:r>
      <w:r w:rsidR="00837876" w:rsidRPr="007D1DFE">
        <w:rPr>
          <w:rFonts w:ascii="Times New Roman" w:eastAsia="Times New Roman" w:hAnsi="Times New Roman" w:cs="Times New Roman"/>
          <w:sz w:val="24"/>
          <w:szCs w:val="24"/>
          <w:lang w:eastAsia="it-IT"/>
        </w:rPr>
        <w:t>si interfaccia</w:t>
      </w:r>
      <w:r w:rsidR="00585862" w:rsidRPr="007D1DFE">
        <w:rPr>
          <w:rFonts w:ascii="Times New Roman" w:eastAsia="Times New Roman" w:hAnsi="Times New Roman" w:cs="Times New Roman"/>
          <w:sz w:val="24"/>
          <w:szCs w:val="24"/>
          <w:lang w:eastAsia="it-IT"/>
        </w:rPr>
        <w:t xml:space="preserve"> nello svolgimento della propria attività di vigilanza per verificare sia l’efficacia delle misure di prevenzione della corruzione di cui alla l.</w:t>
      </w:r>
      <w:r w:rsidR="00837876" w:rsidRPr="007D1DFE">
        <w:rPr>
          <w:rFonts w:ascii="Times New Roman" w:eastAsia="Times New Roman" w:hAnsi="Times New Roman" w:cs="Times New Roman"/>
          <w:sz w:val="24"/>
          <w:szCs w:val="24"/>
          <w:lang w:eastAsia="it-IT"/>
        </w:rPr>
        <w:t xml:space="preserve"> 1</w:t>
      </w:r>
      <w:r w:rsidR="00585862" w:rsidRPr="007D1DFE">
        <w:rPr>
          <w:rFonts w:ascii="Times New Roman" w:eastAsia="Times New Roman" w:hAnsi="Times New Roman" w:cs="Times New Roman"/>
          <w:sz w:val="24"/>
          <w:szCs w:val="24"/>
          <w:lang w:eastAsia="it-IT"/>
        </w:rPr>
        <w:t>90/2012, sia il corretto adempimento degli obblighi di pubblicazione di cui al d.lgs. 33/2013</w:t>
      </w:r>
      <w:r w:rsidR="008249C0" w:rsidRPr="007D1DFE">
        <w:rPr>
          <w:rFonts w:ascii="Times New Roman" w:eastAsia="Times New Roman" w:hAnsi="Times New Roman" w:cs="Times New Roman"/>
          <w:sz w:val="24"/>
          <w:szCs w:val="24"/>
          <w:lang w:eastAsia="it-IT"/>
        </w:rPr>
        <w:t>.</w:t>
      </w:r>
    </w:p>
    <w:p w:rsidR="0075523D" w:rsidRPr="007D1DFE" w:rsidRDefault="008249C0"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 considerazione del ruolo chiave ricoperto </w:t>
      </w:r>
      <w:r w:rsidR="0075523D" w:rsidRPr="007D1DFE">
        <w:rPr>
          <w:rFonts w:ascii="Times New Roman" w:eastAsia="Times New Roman" w:hAnsi="Times New Roman" w:cs="Times New Roman"/>
          <w:sz w:val="24"/>
          <w:szCs w:val="24"/>
          <w:lang w:eastAsia="it-IT"/>
        </w:rPr>
        <w:t>dal RPCT</w:t>
      </w:r>
      <w:r w:rsidR="00837876" w:rsidRPr="007D1DFE">
        <w:rPr>
          <w:rFonts w:ascii="Times New Roman" w:eastAsia="Times New Roman" w:hAnsi="Times New Roman" w:cs="Times New Roman"/>
          <w:sz w:val="24"/>
          <w:szCs w:val="24"/>
          <w:lang w:eastAsia="it-IT"/>
        </w:rPr>
        <w:t>,</w:t>
      </w:r>
      <w:r w:rsidR="0075523D" w:rsidRPr="007D1DFE">
        <w:rPr>
          <w:rFonts w:ascii="Times New Roman" w:eastAsia="Times New Roman" w:hAnsi="Times New Roman" w:cs="Times New Roman"/>
          <w:sz w:val="24"/>
          <w:szCs w:val="24"/>
          <w:lang w:eastAsia="it-IT"/>
        </w:rPr>
        <w:t xml:space="preserve"> l’Aggiornamento 2018 del PNA fornisce alcune precisazioni quanto ai requisiti soggettivi per la nomina e la permanenza in carica dello stesso nonché, in particolare, sulla revoca e le misure discriminatorie nei suoi confronti (rispettivamente ai paragrafi 5. e 6.)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numPr>
          <w:ilvl w:val="2"/>
          <w:numId w:val="8"/>
        </w:num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La </w:t>
      </w:r>
      <w:r w:rsidR="00837876" w:rsidRPr="007D1DFE">
        <w:rPr>
          <w:rFonts w:ascii="Times New Roman" w:eastAsia="Times New Roman" w:hAnsi="Times New Roman" w:cs="Times New Roman"/>
          <w:b/>
          <w:sz w:val="24"/>
          <w:szCs w:val="24"/>
          <w:lang w:eastAsia="it-IT"/>
        </w:rPr>
        <w:t>d</w:t>
      </w:r>
      <w:r w:rsidRPr="007D1DFE">
        <w:rPr>
          <w:rFonts w:ascii="Times New Roman" w:eastAsia="Times New Roman" w:hAnsi="Times New Roman" w:cs="Times New Roman"/>
          <w:b/>
          <w:sz w:val="24"/>
          <w:szCs w:val="24"/>
          <w:lang w:eastAsia="it-IT"/>
        </w:rPr>
        <w:t>irigenza.</w:t>
      </w:r>
    </w:p>
    <w:p w:rsidR="009903C3" w:rsidRPr="007D1DFE" w:rsidRDefault="009903C3" w:rsidP="007D1DFE">
      <w:pPr>
        <w:spacing w:line="240" w:lineRule="auto"/>
        <w:ind w:left="360"/>
        <w:jc w:val="both"/>
        <w:rPr>
          <w:rFonts w:ascii="Times New Roman" w:eastAsia="Times New Roman" w:hAnsi="Times New Roman" w:cs="Times New Roman"/>
          <w:b/>
          <w:sz w:val="24"/>
          <w:szCs w:val="24"/>
          <w:lang w:eastAsia="it-IT"/>
        </w:rPr>
      </w:pPr>
    </w:p>
    <w:p w:rsidR="00837876"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 dirigenti di vertice e gli altri dirigenti collaborano con il R</w:t>
      </w:r>
      <w:r w:rsidR="00837876" w:rsidRPr="007D1DFE">
        <w:rPr>
          <w:rFonts w:ascii="Times New Roman" w:eastAsia="Times New Roman" w:hAnsi="Times New Roman" w:cs="Times New Roman"/>
          <w:sz w:val="24"/>
          <w:szCs w:val="24"/>
          <w:lang w:eastAsia="it-IT"/>
        </w:rPr>
        <w:t>PCT</w:t>
      </w:r>
      <w:r w:rsidRPr="007D1DFE">
        <w:rPr>
          <w:rFonts w:ascii="Times New Roman" w:eastAsia="Times New Roman" w:hAnsi="Times New Roman" w:cs="Times New Roman"/>
          <w:sz w:val="24"/>
          <w:szCs w:val="24"/>
          <w:lang w:eastAsia="it-IT"/>
        </w:rPr>
        <w:t xml:space="preserve"> sia nella fase di predisposizione del P</w:t>
      </w:r>
      <w:r w:rsidR="00837876"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che in quella della sua attuazione, in un rapporto sinergico finalizzato al raggiungimento del comune obiettivo.</w:t>
      </w:r>
    </w:p>
    <w:p w:rsidR="008A0A06"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Come ricordato nell’Aggiornamento 2015 del P.N.A. (lettera c) a pag. 11), tutti i soggetti sottoposti all’osservanza del </w:t>
      </w:r>
      <w:r w:rsidR="00896E6B" w:rsidRPr="007D1DFE">
        <w:rPr>
          <w:rFonts w:ascii="Times New Roman" w:eastAsia="Times New Roman" w:hAnsi="Times New Roman" w:cs="Times New Roman"/>
          <w:sz w:val="24"/>
          <w:szCs w:val="24"/>
          <w:lang w:eastAsia="it-IT"/>
        </w:rPr>
        <w:t>PTPC</w:t>
      </w:r>
      <w:r w:rsidR="00837876"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e</w:t>
      </w:r>
      <w:r w:rsidR="00837876"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in particolare</w:t>
      </w:r>
      <w:r w:rsidR="00837876"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quindi i dirigenti, hanno “</w:t>
      </w:r>
      <w:r w:rsidRPr="007D1DFE">
        <w:rPr>
          <w:rFonts w:ascii="Times New Roman" w:eastAsia="Times New Roman" w:hAnsi="Times New Roman" w:cs="Times New Roman"/>
          <w:i/>
          <w:sz w:val="24"/>
          <w:szCs w:val="24"/>
          <w:lang w:eastAsia="it-IT"/>
        </w:rPr>
        <w:t>obblighi di informazione nei confronti del responsabile anticorruzione chiamato a vigilare sul funzionamento e sull’osservanza del Piano</w:t>
      </w:r>
      <w:r w:rsidRPr="007D1DFE">
        <w:rPr>
          <w:rFonts w:ascii="Times New Roman" w:eastAsia="Times New Roman" w:hAnsi="Times New Roman" w:cs="Times New Roman"/>
          <w:sz w:val="24"/>
          <w:szCs w:val="24"/>
          <w:lang w:eastAsia="it-IT"/>
        </w:rPr>
        <w:t>”. Tali obblighi riguardano sia la fase di formazione che quell</w:t>
      </w:r>
      <w:r w:rsidR="00837876"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 xml:space="preserve"> di verifica del</w:t>
      </w:r>
      <w:r w:rsidR="00837876" w:rsidRPr="007D1DFE">
        <w:rPr>
          <w:rFonts w:ascii="Times New Roman" w:eastAsia="Times New Roman" w:hAnsi="Times New Roman" w:cs="Times New Roman"/>
          <w:sz w:val="24"/>
          <w:szCs w:val="24"/>
          <w:lang w:eastAsia="it-IT"/>
        </w:rPr>
        <w:t xml:space="preserve">l’efficacia </w:t>
      </w:r>
      <w:r w:rsidRPr="007D1DFE">
        <w:rPr>
          <w:rFonts w:ascii="Times New Roman" w:eastAsia="Times New Roman" w:hAnsi="Times New Roman" w:cs="Times New Roman"/>
          <w:sz w:val="24"/>
          <w:szCs w:val="24"/>
          <w:lang w:eastAsia="it-IT"/>
        </w:rPr>
        <w:t xml:space="preserve">e dell’attuazione del </w:t>
      </w:r>
      <w:r w:rsidR="00896E6B" w:rsidRPr="007D1DFE">
        <w:rPr>
          <w:rFonts w:ascii="Times New Roman" w:eastAsia="Times New Roman" w:hAnsi="Times New Roman" w:cs="Times New Roman"/>
          <w:sz w:val="24"/>
          <w:szCs w:val="24"/>
          <w:lang w:eastAsia="it-IT"/>
        </w:rPr>
        <w:t>PTPC</w:t>
      </w:r>
      <w:r w:rsidR="008A0A06" w:rsidRPr="007D1DFE">
        <w:rPr>
          <w:rFonts w:ascii="Times New Roman" w:eastAsia="Times New Roman" w:hAnsi="Times New Roman" w:cs="Times New Roman"/>
          <w:sz w:val="24"/>
          <w:szCs w:val="24"/>
          <w:lang w:eastAsia="it-IT"/>
        </w:rPr>
        <w:t>.</w:t>
      </w:r>
    </w:p>
    <w:p w:rsidR="008A0A06"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BookmanOldStyle" w:eastAsia="Times New Roman" w:hAnsi="BookmanOldStyle" w:cs="BookmanOldStyle"/>
          <w:sz w:val="24"/>
          <w:szCs w:val="24"/>
          <w:lang w:eastAsia="it-IT"/>
        </w:rPr>
        <w:t xml:space="preserve">Ciascun dirigente opera quale </w:t>
      </w:r>
      <w:r w:rsidRPr="007D1DFE">
        <w:rPr>
          <w:rFonts w:ascii="BookmanOldStyle-Bold" w:eastAsia="Times New Roman" w:hAnsi="BookmanOldStyle-Bold" w:cs="BookmanOldStyle-Bold"/>
          <w:bCs/>
          <w:sz w:val="24"/>
          <w:szCs w:val="24"/>
          <w:lang w:eastAsia="it-IT"/>
        </w:rPr>
        <w:t>referente</w:t>
      </w:r>
      <w:r w:rsidRPr="007D1DFE">
        <w:rPr>
          <w:rFonts w:ascii="BookmanOldStyle-Bold" w:eastAsia="Times New Roman" w:hAnsi="BookmanOldStyle-Bold" w:cs="BookmanOldStyle-Bold"/>
          <w:b/>
          <w:bCs/>
          <w:sz w:val="24"/>
          <w:szCs w:val="24"/>
          <w:lang w:eastAsia="it-IT"/>
        </w:rPr>
        <w:t xml:space="preserve"> </w:t>
      </w:r>
      <w:r w:rsidRPr="007D1DFE">
        <w:rPr>
          <w:rFonts w:ascii="BookmanOldStyle" w:eastAsia="Times New Roman" w:hAnsi="BookmanOldStyle" w:cs="BookmanOldStyle"/>
          <w:sz w:val="24"/>
          <w:szCs w:val="24"/>
          <w:lang w:eastAsia="it-IT"/>
        </w:rPr>
        <w:t>per la prevenzione della corruzione ed è responsabile per l’attuazione delle misure contenute nel P</w:t>
      </w:r>
      <w:r w:rsidR="008A0A06" w:rsidRPr="007D1DFE">
        <w:rPr>
          <w:rFonts w:ascii="BookmanOldStyle" w:eastAsia="Times New Roman" w:hAnsi="BookmanOldStyle" w:cs="BookmanOldStyle"/>
          <w:sz w:val="24"/>
          <w:szCs w:val="24"/>
          <w:lang w:eastAsia="it-IT"/>
        </w:rPr>
        <w:t>TPC</w:t>
      </w:r>
      <w:r w:rsidRPr="007D1DFE">
        <w:rPr>
          <w:rFonts w:ascii="BookmanOldStyle" w:eastAsia="Times New Roman" w:hAnsi="BookmanOldStyle" w:cs="BookmanOldStyle"/>
          <w:sz w:val="24"/>
          <w:szCs w:val="24"/>
          <w:lang w:eastAsia="it-IT"/>
        </w:rPr>
        <w:t xml:space="preserve"> nonché per il rispetto degli obblighi di pubblicazione ai fini della trasparenza, relativamente alle strutture che a esso fanno riferimento.</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 dirigenti di vertice esercitano attività di coordinamento e di controllo nei confronti dei dirigenti preposti alle strutture che da essi dipendono ovvero dei funzionari responsabili del procedimento qualora manchi il dirigente, esercitando il potere sostitutivo in caso di loro inerzia. Inoltre, </w:t>
      </w:r>
      <w:r w:rsidR="008A0A06" w:rsidRPr="007D1DFE">
        <w:rPr>
          <w:rFonts w:ascii="Times New Roman" w:eastAsia="Times New Roman" w:hAnsi="Times New Roman" w:cs="Times New Roman"/>
          <w:sz w:val="24"/>
          <w:szCs w:val="24"/>
          <w:lang w:eastAsia="it-IT"/>
        </w:rPr>
        <w:t>ai sensi dell’articolo 16</w:t>
      </w:r>
      <w:r w:rsidR="00680015" w:rsidRPr="007D1DFE">
        <w:rPr>
          <w:rFonts w:ascii="Times New Roman" w:eastAsia="Times New Roman" w:hAnsi="Times New Roman" w:cs="Times New Roman"/>
          <w:sz w:val="24"/>
          <w:szCs w:val="24"/>
          <w:lang w:eastAsia="it-IT"/>
        </w:rPr>
        <w:t>, comma 1</w:t>
      </w:r>
      <w:r w:rsidR="008A0A06"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del d.lgs. 165/2001:</w:t>
      </w:r>
    </w:p>
    <w:p w:rsidR="00680015" w:rsidRPr="007D1DFE" w:rsidRDefault="00680015" w:rsidP="007D1DFE">
      <w:pPr>
        <w:pStyle w:val="Paragrafoelenco"/>
        <w:numPr>
          <w:ilvl w:val="0"/>
          <w:numId w:val="27"/>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i/>
          <w:sz w:val="24"/>
          <w:szCs w:val="24"/>
          <w:lang w:eastAsia="it-IT"/>
        </w:rPr>
        <w:t>concorrono alla definizione di misure idonee a prevenire e contrastare i fenomeni di corruzione e a controllarne il rispetto da parte dei dipendenti dell'ufficio cui sono preposti</w:t>
      </w:r>
      <w:r w:rsidRPr="007D1DFE">
        <w:rPr>
          <w:rFonts w:ascii="Times New Roman" w:eastAsia="Times New Roman" w:hAnsi="Times New Roman" w:cs="Times New Roman"/>
          <w:sz w:val="24"/>
          <w:szCs w:val="24"/>
          <w:lang w:eastAsia="it-IT"/>
        </w:rPr>
        <w:t>” (</w:t>
      </w:r>
      <w:proofErr w:type="spellStart"/>
      <w:r w:rsidRPr="007D1DFE">
        <w:rPr>
          <w:rFonts w:ascii="Times New Roman" w:eastAsia="Times New Roman" w:hAnsi="Times New Roman" w:cs="Times New Roman"/>
          <w:sz w:val="24"/>
          <w:szCs w:val="24"/>
          <w:lang w:eastAsia="it-IT"/>
        </w:rPr>
        <w:t>lett</w:t>
      </w:r>
      <w:proofErr w:type="spellEnd"/>
      <w:r w:rsidRPr="007D1DFE">
        <w:rPr>
          <w:rFonts w:ascii="Times New Roman" w:eastAsia="Times New Roman" w:hAnsi="Times New Roman" w:cs="Times New Roman"/>
          <w:sz w:val="24"/>
          <w:szCs w:val="24"/>
          <w:lang w:eastAsia="it-IT"/>
        </w:rPr>
        <w:t>. l-bis);</w:t>
      </w:r>
    </w:p>
    <w:p w:rsidR="00680015" w:rsidRPr="007D1DFE" w:rsidRDefault="00680015" w:rsidP="007D1DFE">
      <w:pPr>
        <w:pStyle w:val="Paragrafoelenco"/>
        <w:numPr>
          <w:ilvl w:val="0"/>
          <w:numId w:val="27"/>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i/>
          <w:sz w:val="24"/>
          <w:szCs w:val="24"/>
          <w:lang w:eastAsia="it-IT"/>
        </w:rPr>
        <w:t>forniscono le informazioni richieste dal soggetto competente per l'individuazione delle attività nell'ambito delle quali è più elevato il rischio corruzione e formulano specifiche proposte volte alla prevenzione del rischio medesimo</w:t>
      </w:r>
      <w:r w:rsidRPr="007D1DFE">
        <w:rPr>
          <w:rFonts w:ascii="Times New Roman" w:eastAsia="Times New Roman" w:hAnsi="Times New Roman" w:cs="Times New Roman"/>
          <w:sz w:val="24"/>
          <w:szCs w:val="24"/>
          <w:lang w:eastAsia="it-IT"/>
        </w:rPr>
        <w:t>” (</w:t>
      </w:r>
      <w:proofErr w:type="spellStart"/>
      <w:r w:rsidRPr="007D1DFE">
        <w:rPr>
          <w:rFonts w:ascii="Times New Roman" w:eastAsia="Times New Roman" w:hAnsi="Times New Roman" w:cs="Times New Roman"/>
          <w:sz w:val="24"/>
          <w:szCs w:val="24"/>
          <w:lang w:eastAsia="it-IT"/>
        </w:rPr>
        <w:t>lett</w:t>
      </w:r>
      <w:proofErr w:type="spellEnd"/>
      <w:r w:rsidRPr="007D1DFE">
        <w:rPr>
          <w:rFonts w:ascii="Times New Roman" w:eastAsia="Times New Roman" w:hAnsi="Times New Roman" w:cs="Times New Roman"/>
          <w:sz w:val="24"/>
          <w:szCs w:val="24"/>
          <w:lang w:eastAsia="it-IT"/>
        </w:rPr>
        <w:t>. l-ter);</w:t>
      </w:r>
    </w:p>
    <w:p w:rsidR="00680015" w:rsidRPr="007D1DFE" w:rsidRDefault="00680015" w:rsidP="007D1DFE">
      <w:pPr>
        <w:pStyle w:val="Paragrafoelenco"/>
        <w:numPr>
          <w:ilvl w:val="0"/>
          <w:numId w:val="27"/>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i/>
          <w:sz w:val="24"/>
          <w:szCs w:val="24"/>
          <w:lang w:eastAsia="it-IT"/>
        </w:rPr>
        <w:t>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w:t>
      </w:r>
      <w:r w:rsidRPr="007D1DFE">
        <w:rPr>
          <w:rFonts w:ascii="Times New Roman" w:eastAsia="Times New Roman" w:hAnsi="Times New Roman" w:cs="Times New Roman"/>
          <w:sz w:val="24"/>
          <w:szCs w:val="24"/>
          <w:lang w:eastAsia="it-IT"/>
        </w:rPr>
        <w:t>” (</w:t>
      </w:r>
      <w:proofErr w:type="spellStart"/>
      <w:r w:rsidRPr="007D1DFE">
        <w:rPr>
          <w:rFonts w:ascii="Times New Roman" w:eastAsia="Times New Roman" w:hAnsi="Times New Roman" w:cs="Times New Roman"/>
          <w:sz w:val="24"/>
          <w:szCs w:val="24"/>
          <w:lang w:eastAsia="it-IT"/>
        </w:rPr>
        <w:t>lett</w:t>
      </w:r>
      <w:proofErr w:type="spellEnd"/>
      <w:r w:rsidRPr="007D1DFE">
        <w:rPr>
          <w:rFonts w:ascii="Times New Roman" w:eastAsia="Times New Roman" w:hAnsi="Times New Roman" w:cs="Times New Roman"/>
          <w:sz w:val="24"/>
          <w:szCs w:val="24"/>
          <w:lang w:eastAsia="it-IT"/>
        </w:rPr>
        <w:t>. l-quater).</w:t>
      </w:r>
    </w:p>
    <w:p w:rsidR="009903C3" w:rsidRPr="007D1DFE" w:rsidRDefault="009903C3" w:rsidP="007D1DFE">
      <w:pPr>
        <w:spacing w:line="240" w:lineRule="auto"/>
        <w:ind w:firstLine="360"/>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Tutta la dirigenza è investita di puntuali responsabilità in relazione a eventuali inadempimenti</w:t>
      </w:r>
      <w:r w:rsidR="00BE526A" w:rsidRPr="007D1DFE">
        <w:rPr>
          <w:rFonts w:ascii="Times New Roman" w:eastAsia="Times New Roman" w:hAnsi="Times New Roman" w:cs="Times New Roman"/>
          <w:sz w:val="24"/>
          <w:szCs w:val="24"/>
          <w:lang w:eastAsia="it-IT"/>
        </w:rPr>
        <w:t>,</w:t>
      </w:r>
      <w:r w:rsidR="00233284" w:rsidRPr="007D1DFE">
        <w:rPr>
          <w:rFonts w:ascii="Times New Roman" w:eastAsia="Times New Roman" w:hAnsi="Times New Roman" w:cs="Times New Roman"/>
          <w:sz w:val="24"/>
          <w:szCs w:val="24"/>
          <w:lang w:eastAsia="it-IT"/>
        </w:rPr>
        <w:t xml:space="preserve"> </w:t>
      </w:r>
      <w:r w:rsidR="00BE526A" w:rsidRPr="007D1DFE">
        <w:rPr>
          <w:rFonts w:ascii="Times New Roman" w:eastAsia="Times New Roman" w:hAnsi="Times New Roman" w:cs="Times New Roman"/>
          <w:sz w:val="24"/>
          <w:szCs w:val="24"/>
          <w:lang w:eastAsia="it-IT"/>
        </w:rPr>
        <w:t>da parte dei dipendenti assegnati, rispetto al</w:t>
      </w:r>
      <w:r w:rsidR="00233284" w:rsidRPr="007D1DFE">
        <w:rPr>
          <w:rFonts w:ascii="Times New Roman" w:eastAsia="Times New Roman" w:hAnsi="Times New Roman" w:cs="Times New Roman"/>
          <w:sz w:val="24"/>
          <w:szCs w:val="24"/>
          <w:lang w:eastAsia="it-IT"/>
        </w:rPr>
        <w:t>le misure prescritte nel presente PTPC</w:t>
      </w:r>
      <w:r w:rsidR="00BE526A"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36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L’attuazione delle misure per la prevenzione della corruzione prescritte dal presente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per tali intendendosi sia quelle </w:t>
      </w:r>
      <w:r w:rsidR="00BE526A" w:rsidRPr="007D1DFE">
        <w:rPr>
          <w:rFonts w:ascii="Times New Roman" w:eastAsia="Times New Roman" w:hAnsi="Times New Roman" w:cs="Times New Roman"/>
          <w:sz w:val="24"/>
          <w:szCs w:val="24"/>
          <w:lang w:eastAsia="it-IT"/>
        </w:rPr>
        <w:t>di</w:t>
      </w:r>
      <w:r w:rsidRPr="007D1DFE">
        <w:rPr>
          <w:rFonts w:ascii="Times New Roman" w:eastAsia="Times New Roman" w:hAnsi="Times New Roman" w:cs="Times New Roman"/>
          <w:sz w:val="24"/>
          <w:szCs w:val="24"/>
          <w:lang w:eastAsia="it-IT"/>
        </w:rPr>
        <w:t xml:space="preserve"> carattere generale</w:t>
      </w:r>
      <w:r w:rsidR="00BE526A" w:rsidRPr="007D1DFE">
        <w:rPr>
          <w:rFonts w:ascii="Times New Roman" w:eastAsia="Times New Roman" w:hAnsi="Times New Roman" w:cs="Times New Roman"/>
          <w:sz w:val="24"/>
          <w:szCs w:val="24"/>
          <w:lang w:eastAsia="it-IT"/>
        </w:rPr>
        <w:t xml:space="preserve"> che</w:t>
      </w:r>
      <w:r w:rsidRPr="007D1DFE">
        <w:rPr>
          <w:rFonts w:ascii="Times New Roman" w:eastAsia="Times New Roman" w:hAnsi="Times New Roman" w:cs="Times New Roman"/>
          <w:sz w:val="24"/>
          <w:szCs w:val="24"/>
          <w:lang w:eastAsia="it-IT"/>
        </w:rPr>
        <w:t xml:space="preserve"> quelle ulteriori</w:t>
      </w:r>
      <w:r w:rsidR="00BE526A" w:rsidRPr="007D1DFE">
        <w:rPr>
          <w:rFonts w:ascii="Times New Roman" w:eastAsia="Times New Roman" w:hAnsi="Times New Roman" w:cs="Times New Roman"/>
          <w:sz w:val="24"/>
          <w:szCs w:val="24"/>
          <w:lang w:eastAsia="it-IT"/>
        </w:rPr>
        <w:t xml:space="preserve"> nonché </w:t>
      </w:r>
      <w:r w:rsidRPr="007D1DFE">
        <w:rPr>
          <w:rFonts w:ascii="Times New Roman" w:eastAsia="Times New Roman" w:hAnsi="Times New Roman" w:cs="Times New Roman"/>
          <w:sz w:val="24"/>
          <w:szCs w:val="24"/>
          <w:lang w:eastAsia="it-IT"/>
        </w:rPr>
        <w:t>quelle afferenti a ciascun processo, costituisce in ogni caso un obiettivo</w:t>
      </w:r>
      <w:r w:rsidR="00BE526A" w:rsidRPr="007D1DFE">
        <w:rPr>
          <w:rFonts w:ascii="Times New Roman" w:eastAsia="Times New Roman" w:hAnsi="Times New Roman" w:cs="Times New Roman"/>
          <w:sz w:val="24"/>
          <w:szCs w:val="24"/>
          <w:lang w:eastAsia="it-IT"/>
        </w:rPr>
        <w:t xml:space="preserve"> per il dirigente</w:t>
      </w:r>
      <w:r w:rsidRPr="007D1DFE">
        <w:rPr>
          <w:rFonts w:ascii="Times New Roman" w:eastAsia="Times New Roman" w:hAnsi="Times New Roman" w:cs="Times New Roman"/>
          <w:sz w:val="24"/>
          <w:szCs w:val="24"/>
          <w:lang w:eastAsia="it-IT"/>
        </w:rPr>
        <w:t xml:space="preserve">, il cui grado di raggiungimento deve essere valutato in riferimento alla </w:t>
      </w:r>
      <w:r w:rsidR="00BE526A" w:rsidRPr="007D1DFE">
        <w:rPr>
          <w:rFonts w:ascii="Times New Roman" w:eastAsia="Times New Roman" w:hAnsi="Times New Roman" w:cs="Times New Roman"/>
          <w:sz w:val="24"/>
          <w:szCs w:val="24"/>
          <w:lang w:eastAsia="it-IT"/>
        </w:rPr>
        <w:t xml:space="preserve">sua </w:t>
      </w:r>
      <w:r w:rsidRPr="007D1DFE">
        <w:rPr>
          <w:rFonts w:ascii="Times New Roman" w:eastAsia="Times New Roman" w:hAnsi="Times New Roman" w:cs="Times New Roman"/>
          <w:sz w:val="24"/>
          <w:szCs w:val="24"/>
          <w:lang w:eastAsia="it-IT"/>
        </w:rPr>
        <w:t xml:space="preserve">capacità organizzativa e individuale.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BE526A" w:rsidRPr="007D1DFE" w:rsidRDefault="00BE526A" w:rsidP="007D1DFE">
      <w:pPr>
        <w:spacing w:line="240" w:lineRule="auto"/>
        <w:ind w:firstLine="708"/>
        <w:jc w:val="both"/>
        <w:rPr>
          <w:rFonts w:ascii="Times New Roman" w:eastAsia="Times New Roman" w:hAnsi="Times New Roman" w:cs="Times New Roman"/>
          <w:sz w:val="24"/>
          <w:szCs w:val="24"/>
          <w:lang w:eastAsia="it-IT"/>
        </w:rPr>
      </w:pPr>
    </w:p>
    <w:p w:rsidR="00BE526A" w:rsidRPr="007D1DFE" w:rsidRDefault="00BE526A"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8223E4" w:rsidP="007D1DFE">
      <w:pPr>
        <w:numPr>
          <w:ilvl w:val="2"/>
          <w:numId w:val="8"/>
        </w:numPr>
        <w:spacing w:line="240" w:lineRule="auto"/>
        <w:ind w:left="708"/>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lastRenderedPageBreak/>
        <w:t>I r</w:t>
      </w:r>
      <w:r w:rsidR="009903C3" w:rsidRPr="007D1DFE">
        <w:rPr>
          <w:rFonts w:ascii="Times New Roman" w:eastAsia="Times New Roman" w:hAnsi="Times New Roman" w:cs="Times New Roman"/>
          <w:b/>
          <w:sz w:val="24"/>
          <w:szCs w:val="24"/>
          <w:lang w:eastAsia="it-IT"/>
        </w:rPr>
        <w:t xml:space="preserve">eferenti.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Segret</w:t>
      </w:r>
      <w:r w:rsidR="008223E4" w:rsidRPr="007D1DFE">
        <w:rPr>
          <w:rFonts w:ascii="Times New Roman" w:eastAsia="Times New Roman" w:hAnsi="Times New Roman" w:cs="Times New Roman"/>
          <w:sz w:val="24"/>
          <w:szCs w:val="24"/>
          <w:lang w:eastAsia="it-IT"/>
        </w:rPr>
        <w:t>ario generale e i Direttori di S</w:t>
      </w:r>
      <w:r w:rsidRPr="007D1DFE">
        <w:rPr>
          <w:rFonts w:ascii="Times New Roman" w:eastAsia="Times New Roman" w:hAnsi="Times New Roman" w:cs="Times New Roman"/>
          <w:sz w:val="24"/>
          <w:szCs w:val="24"/>
          <w:lang w:eastAsia="it-IT"/>
        </w:rPr>
        <w:t>ervizio hanno facoltà di individuare, relativamente alle strutture che a essi fanno diretto riferimento, de</w:t>
      </w:r>
      <w:r w:rsidR="008223E4" w:rsidRPr="007D1DFE">
        <w:rPr>
          <w:rFonts w:ascii="Times New Roman" w:eastAsia="Times New Roman" w:hAnsi="Times New Roman" w:cs="Times New Roman"/>
          <w:sz w:val="24"/>
          <w:szCs w:val="24"/>
          <w:lang w:eastAsia="it-IT"/>
        </w:rPr>
        <w:t>i</w:t>
      </w:r>
      <w:r w:rsidRPr="007D1DFE">
        <w:rPr>
          <w:rFonts w:ascii="Times New Roman" w:eastAsia="Times New Roman" w:hAnsi="Times New Roman" w:cs="Times New Roman"/>
          <w:sz w:val="24"/>
          <w:szCs w:val="24"/>
          <w:lang w:eastAsia="it-IT"/>
        </w:rPr>
        <w:t xml:space="preserve"> referenti per la prevenzione della corruzione e per la trasparenza.</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In tal caso, detti referenti collaborano con il R</w:t>
      </w:r>
      <w:r w:rsidR="008223E4" w:rsidRPr="007D1DFE">
        <w:rPr>
          <w:rFonts w:ascii="Times New Roman" w:eastAsia="Times New Roman" w:hAnsi="Times New Roman" w:cs="Times New Roman"/>
          <w:sz w:val="24"/>
          <w:szCs w:val="24"/>
          <w:lang w:eastAsia="it-IT"/>
        </w:rPr>
        <w:t xml:space="preserve">PCT </w:t>
      </w:r>
      <w:r w:rsidRPr="007D1DFE">
        <w:rPr>
          <w:rFonts w:ascii="Times New Roman" w:eastAsia="Times New Roman" w:hAnsi="Times New Roman" w:cs="Times New Roman"/>
          <w:sz w:val="24"/>
          <w:szCs w:val="24"/>
          <w:lang w:eastAsia="it-IT"/>
        </w:rPr>
        <w:t xml:space="preserve">e, su sua richiesta, forniscono informazioni in merito all’attuazione, relativamente ai propri ambiti di competenza, di tutte le prescrizioni e misure presenti nel </w:t>
      </w:r>
      <w:r w:rsidR="00896E6B" w:rsidRPr="007D1DFE">
        <w:rPr>
          <w:rFonts w:ascii="Times New Roman" w:eastAsia="Times New Roman" w:hAnsi="Times New Roman" w:cs="Times New Roman"/>
          <w:sz w:val="24"/>
          <w:szCs w:val="24"/>
          <w:lang w:eastAsia="it-IT"/>
        </w:rPr>
        <w:t>PTPC</w:t>
      </w:r>
      <w:r w:rsidR="008223E4"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Ove vengano a conoscenza di fatti e comportamenti che si configurino non in linea con le suddette prescrizioni e misure</w:t>
      </w:r>
      <w:r w:rsidR="008223E4" w:rsidRPr="007D1DFE">
        <w:rPr>
          <w:rFonts w:ascii="Times New Roman" w:eastAsia="Times New Roman" w:hAnsi="Times New Roman" w:cs="Times New Roman"/>
          <w:sz w:val="24"/>
          <w:szCs w:val="24"/>
          <w:lang w:eastAsia="it-IT"/>
        </w:rPr>
        <w:t>, i referenti</w:t>
      </w:r>
      <w:r w:rsidRPr="007D1DFE">
        <w:rPr>
          <w:rFonts w:ascii="Times New Roman" w:eastAsia="Times New Roman" w:hAnsi="Times New Roman" w:cs="Times New Roman"/>
          <w:sz w:val="24"/>
          <w:szCs w:val="24"/>
          <w:lang w:eastAsia="it-IT"/>
        </w:rPr>
        <w:t xml:space="preserve"> hanno il dovere di segnalarli immediatamente al R</w:t>
      </w:r>
      <w:r w:rsidR="008223E4" w:rsidRPr="007D1DFE">
        <w:rPr>
          <w:rFonts w:ascii="Times New Roman" w:eastAsia="Times New Roman" w:hAnsi="Times New Roman" w:cs="Times New Roman"/>
          <w:sz w:val="24"/>
          <w:szCs w:val="24"/>
          <w:lang w:eastAsia="it-IT"/>
        </w:rPr>
        <w:t>PCT</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numPr>
          <w:ilvl w:val="2"/>
          <w:numId w:val="8"/>
        </w:num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L’Organismo Indipendente di Valutazione (</w:t>
      </w:r>
      <w:r w:rsidR="00896E6B" w:rsidRPr="007D1DFE">
        <w:rPr>
          <w:rFonts w:ascii="Times New Roman" w:eastAsia="Times New Roman" w:hAnsi="Times New Roman" w:cs="Times New Roman"/>
          <w:b/>
          <w:sz w:val="24"/>
          <w:szCs w:val="24"/>
          <w:lang w:eastAsia="it-IT"/>
        </w:rPr>
        <w:t>OIV</w:t>
      </w:r>
      <w:r w:rsidRPr="007D1DFE">
        <w:rPr>
          <w:rFonts w:ascii="Times New Roman" w:eastAsia="Times New Roman" w:hAnsi="Times New Roman" w:cs="Times New Roman"/>
          <w:b/>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autoSpaceDE w:val="0"/>
        <w:autoSpaceDN w:val="0"/>
        <w:adjustRightInd w:val="0"/>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Ai sensi della normativa anticorruzione, l’</w:t>
      </w:r>
      <w:r w:rsidR="00896E6B" w:rsidRPr="007D1DFE">
        <w:rPr>
          <w:rFonts w:ascii="Times New Roman" w:eastAsia="Times New Roman" w:hAnsi="Times New Roman" w:cs="Times New Roman"/>
          <w:sz w:val="24"/>
          <w:szCs w:val="24"/>
          <w:lang w:eastAsia="it-IT"/>
        </w:rPr>
        <w:t>OIV</w:t>
      </w:r>
      <w:r w:rsidRPr="007D1DFE">
        <w:rPr>
          <w:rFonts w:ascii="Times New Roman" w:eastAsia="Times New Roman" w:hAnsi="Times New Roman" w:cs="Times New Roman"/>
          <w:sz w:val="24"/>
          <w:szCs w:val="24"/>
          <w:lang w:eastAsia="it-IT"/>
        </w:rPr>
        <w:t xml:space="preserve"> partecipa al processo di gestione del rischio ed esprime parere obbligatorio sul Codice di comportamento ed i suoi aggiornamenti. </w:t>
      </w:r>
    </w:p>
    <w:p w:rsidR="009903C3" w:rsidRPr="007D1DFE" w:rsidRDefault="009903C3" w:rsidP="007D1DFE">
      <w:pPr>
        <w:autoSpaceDE w:val="0"/>
        <w:autoSpaceDN w:val="0"/>
        <w:adjustRightInd w:val="0"/>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Verifica l’adeguatezza del PTPC e delle misure in esso previste in relazione all’attività ed all’organizzazione del Consiglio regionale nonché la coerenza del P</w:t>
      </w:r>
      <w:r w:rsidR="0050018E"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medesimo con gli obiettivi contenuti negli atti di programmazione strategica. </w:t>
      </w:r>
    </w:p>
    <w:p w:rsidR="009903C3" w:rsidRPr="007D1DFE" w:rsidRDefault="009903C3" w:rsidP="007D1DFE">
      <w:pPr>
        <w:autoSpaceDE w:val="0"/>
        <w:autoSpaceDN w:val="0"/>
        <w:adjustRightInd w:val="0"/>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Verifica, inoltre, il corretto assolvimento, da parte di ciascuna struttura organizzativa, degli obblighi di attuazione delle misure per la prevenzione della corruzione e degli obblighi di trasparenza previsti dal PTPC ai fini della misurazione e della valutazione complessiva delle prestazioni e dei risultati, sia organizzativi </w:t>
      </w:r>
      <w:r w:rsidR="0050018E" w:rsidRPr="007D1DFE">
        <w:rPr>
          <w:rFonts w:ascii="Times New Roman" w:eastAsia="Times New Roman" w:hAnsi="Times New Roman" w:cs="Times New Roman"/>
          <w:sz w:val="24"/>
          <w:szCs w:val="24"/>
          <w:lang w:eastAsia="it-IT"/>
        </w:rPr>
        <w:t>che</w:t>
      </w:r>
      <w:r w:rsidRPr="007D1DFE">
        <w:rPr>
          <w:rFonts w:ascii="Times New Roman" w:eastAsia="Times New Roman" w:hAnsi="Times New Roman" w:cs="Times New Roman"/>
          <w:sz w:val="24"/>
          <w:szCs w:val="24"/>
          <w:lang w:eastAsia="it-IT"/>
        </w:rPr>
        <w:t xml:space="preserve"> individuali dei dirigenti. </w:t>
      </w:r>
    </w:p>
    <w:p w:rsidR="009903C3" w:rsidRPr="007D1DFE" w:rsidRDefault="009903C3" w:rsidP="007D1DFE">
      <w:pPr>
        <w:autoSpaceDE w:val="0"/>
        <w:autoSpaceDN w:val="0"/>
        <w:adjustRightInd w:val="0"/>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Verifica i contenuti della relazione annuale del R</w:t>
      </w:r>
      <w:r w:rsidR="0050018E" w:rsidRPr="007D1DFE">
        <w:rPr>
          <w:rFonts w:ascii="Times New Roman" w:eastAsia="Times New Roman" w:hAnsi="Times New Roman" w:cs="Times New Roman"/>
          <w:sz w:val="24"/>
          <w:szCs w:val="24"/>
          <w:lang w:eastAsia="it-IT"/>
        </w:rPr>
        <w:t xml:space="preserve">PCT </w:t>
      </w:r>
      <w:r w:rsidRPr="007D1DFE">
        <w:rPr>
          <w:rFonts w:ascii="Times New Roman" w:eastAsia="Times New Roman" w:hAnsi="Times New Roman" w:cs="Times New Roman"/>
          <w:sz w:val="24"/>
          <w:szCs w:val="24"/>
          <w:lang w:eastAsia="it-IT"/>
        </w:rPr>
        <w:t xml:space="preserve">in rapporto con gli obiettivi inerenti alla prevenzione della corruzione e alla trasparenza </w:t>
      </w:r>
      <w:r w:rsidRPr="007D1DFE">
        <w:rPr>
          <w:rFonts w:ascii="Times New Roman" w:eastAsia="Times New Roman" w:hAnsi="Times New Roman" w:cs="Times New Roman"/>
          <w:sz w:val="24"/>
          <w:szCs w:val="24"/>
          <w:vertAlign w:val="superscript"/>
          <w:lang w:eastAsia="it-IT"/>
        </w:rPr>
        <w:footnoteReference w:id="25"/>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autoSpaceDE w:val="0"/>
        <w:autoSpaceDN w:val="0"/>
        <w:adjustRightInd w:val="0"/>
        <w:spacing w:line="240" w:lineRule="auto"/>
        <w:ind w:firstLine="284"/>
        <w:jc w:val="both"/>
        <w:rPr>
          <w:rFonts w:ascii="Times New Roman" w:eastAsia="Times New Roman" w:hAnsi="Times New Roman" w:cs="Times New Roman"/>
          <w:sz w:val="24"/>
          <w:szCs w:val="24"/>
          <w:shd w:val="clear" w:color="auto" w:fill="FFFFFF"/>
          <w:lang w:eastAsia="it-IT"/>
        </w:rPr>
      </w:pPr>
      <w:r w:rsidRPr="007D1DFE">
        <w:rPr>
          <w:rFonts w:ascii="Times New Roman" w:eastAsia="Times New Roman" w:hAnsi="Times New Roman" w:cs="Times New Roman"/>
          <w:sz w:val="24"/>
          <w:szCs w:val="24"/>
          <w:shd w:val="clear" w:color="auto" w:fill="FFFFFF"/>
          <w:lang w:eastAsia="it-IT"/>
        </w:rPr>
        <w:t xml:space="preserve">L’OIV comunica all’Ufficio di presidenza le criticità riscontrate nello svolgimento della propria </w:t>
      </w:r>
      <w:r w:rsidR="0050018E" w:rsidRPr="007D1DFE">
        <w:rPr>
          <w:rFonts w:ascii="Times New Roman" w:eastAsia="Times New Roman" w:hAnsi="Times New Roman" w:cs="Times New Roman"/>
          <w:sz w:val="24"/>
          <w:szCs w:val="24"/>
          <w:shd w:val="clear" w:color="auto" w:fill="FFFFFF"/>
          <w:lang w:eastAsia="it-IT"/>
        </w:rPr>
        <w:t>attività</w:t>
      </w:r>
      <w:r w:rsidRPr="007D1DFE">
        <w:rPr>
          <w:rFonts w:ascii="Times New Roman" w:eastAsia="Times New Roman" w:hAnsi="Times New Roman" w:cs="Times New Roman"/>
          <w:sz w:val="24"/>
          <w:szCs w:val="24"/>
          <w:shd w:val="clear" w:color="auto" w:fill="FFFFFF"/>
          <w:lang w:eastAsia="it-IT"/>
        </w:rPr>
        <w:t xml:space="preserve"> e fornisce all’ANAC ogni informazione da essa richiesta sull’adempimento delle misure </w:t>
      </w:r>
      <w:r w:rsidR="0050018E" w:rsidRPr="007D1DFE">
        <w:rPr>
          <w:rFonts w:ascii="Times New Roman" w:eastAsia="Times New Roman" w:hAnsi="Times New Roman" w:cs="Times New Roman"/>
          <w:sz w:val="24"/>
          <w:szCs w:val="24"/>
          <w:shd w:val="clear" w:color="auto" w:fill="FFFFFF"/>
          <w:lang w:eastAsia="it-IT"/>
        </w:rPr>
        <w:t xml:space="preserve">di </w:t>
      </w:r>
      <w:r w:rsidRPr="007D1DFE">
        <w:rPr>
          <w:rFonts w:ascii="Times New Roman" w:eastAsia="Times New Roman" w:hAnsi="Times New Roman" w:cs="Times New Roman"/>
          <w:sz w:val="24"/>
          <w:szCs w:val="24"/>
          <w:shd w:val="clear" w:color="auto" w:fill="FFFFFF"/>
          <w:lang w:eastAsia="it-IT"/>
        </w:rPr>
        <w:t>anticorruzione e trasparenza.</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shd w:val="clear" w:color="auto" w:fill="FFFFFF"/>
          <w:lang w:eastAsia="it-IT"/>
        </w:rPr>
      </w:pPr>
    </w:p>
    <w:p w:rsidR="009903C3" w:rsidRPr="007D1DFE" w:rsidRDefault="009903C3" w:rsidP="007D1DFE">
      <w:pPr>
        <w:autoSpaceDE w:val="0"/>
        <w:autoSpaceDN w:val="0"/>
        <w:adjustRightInd w:val="0"/>
        <w:spacing w:line="240" w:lineRule="auto"/>
        <w:contextualSpacing/>
        <w:jc w:val="both"/>
        <w:rPr>
          <w:rFonts w:ascii="Times New Roman" w:eastAsia="Times New Roman" w:hAnsi="Times New Roman" w:cs="Times New Roman"/>
          <w:b/>
          <w:sz w:val="24"/>
          <w:szCs w:val="24"/>
          <w:lang w:eastAsia="it-IT"/>
        </w:rPr>
      </w:pPr>
    </w:p>
    <w:p w:rsidR="009903C3" w:rsidRPr="007D1DFE" w:rsidRDefault="009903C3" w:rsidP="007D1DFE">
      <w:pPr>
        <w:numPr>
          <w:ilvl w:val="2"/>
          <w:numId w:val="8"/>
        </w:numPr>
        <w:autoSpaceDE w:val="0"/>
        <w:autoSpaceDN w:val="0"/>
        <w:adjustRightInd w:val="0"/>
        <w:spacing w:line="240" w:lineRule="auto"/>
        <w:contextualSpacing/>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La Struttura competente per i procedimenti disciplinari. </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autoSpaceDE w:val="0"/>
        <w:autoSpaceDN w:val="0"/>
        <w:adjustRightInd w:val="0"/>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Collabora con il R</w:t>
      </w:r>
      <w:r w:rsidR="008C3004" w:rsidRPr="007D1DFE">
        <w:rPr>
          <w:rFonts w:ascii="Times New Roman" w:eastAsia="Times New Roman" w:hAnsi="Times New Roman" w:cs="Times New Roman"/>
          <w:sz w:val="24"/>
          <w:szCs w:val="24"/>
          <w:lang w:eastAsia="it-IT"/>
        </w:rPr>
        <w:t xml:space="preserve">PCT </w:t>
      </w:r>
      <w:r w:rsidRPr="007D1DFE">
        <w:rPr>
          <w:rFonts w:ascii="Times New Roman" w:eastAsia="Times New Roman" w:hAnsi="Times New Roman" w:cs="Times New Roman"/>
          <w:sz w:val="24"/>
          <w:szCs w:val="24"/>
          <w:lang w:eastAsia="it-IT"/>
        </w:rPr>
        <w:t>nel caso di modifiche o integrazioni da apportare al Codice di comportamento del personale</w:t>
      </w:r>
      <w:r w:rsidR="008C3004" w:rsidRPr="007D1DFE">
        <w:rPr>
          <w:rFonts w:ascii="Times New Roman" w:eastAsia="Times New Roman" w:hAnsi="Times New Roman" w:cs="Times New Roman"/>
          <w:sz w:val="24"/>
          <w:szCs w:val="24"/>
          <w:lang w:eastAsia="it-IT"/>
        </w:rPr>
        <w:t xml:space="preserve"> e p</w:t>
      </w:r>
      <w:r w:rsidRPr="007D1DFE">
        <w:rPr>
          <w:rFonts w:ascii="Times New Roman" w:eastAsia="Times New Roman" w:hAnsi="Times New Roman" w:cs="Times New Roman"/>
          <w:sz w:val="24"/>
          <w:szCs w:val="24"/>
          <w:lang w:eastAsia="it-IT"/>
        </w:rPr>
        <w:t>rovvede alle comunicazioni obbligatorie nei confronti dell’autorità giudiziaria (art. 20 del d.P.R.</w:t>
      </w:r>
      <w:r w:rsidR="008C3004"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3/1957; art.1, co</w:t>
      </w:r>
      <w:r w:rsidR="008C3004"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3</w:t>
      </w:r>
      <w:r w:rsidR="008C3004" w:rsidRPr="007D1DFE">
        <w:rPr>
          <w:rFonts w:ascii="Times New Roman" w:eastAsia="Times New Roman" w:hAnsi="Times New Roman" w:cs="Times New Roman"/>
          <w:sz w:val="24"/>
          <w:szCs w:val="24"/>
          <w:lang w:eastAsia="it-IT"/>
        </w:rPr>
        <w:t xml:space="preserve"> della l.</w:t>
      </w:r>
      <w:r w:rsidRPr="007D1DFE">
        <w:rPr>
          <w:rFonts w:ascii="Times New Roman" w:eastAsia="Times New Roman" w:hAnsi="Times New Roman" w:cs="Times New Roman"/>
          <w:sz w:val="24"/>
          <w:szCs w:val="24"/>
          <w:lang w:eastAsia="it-IT"/>
        </w:rPr>
        <w:t xml:space="preserve"> 20</w:t>
      </w:r>
      <w:r w:rsidR="008C3004"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1994; art. 331 c.p.p.)</w:t>
      </w:r>
      <w:r w:rsidR="008C3004"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Entro il </w:t>
      </w:r>
      <w:r w:rsidR="00195EA2" w:rsidRPr="007D1DFE">
        <w:rPr>
          <w:rFonts w:ascii="Times New Roman" w:eastAsia="Times New Roman" w:hAnsi="Times New Roman" w:cs="Times New Roman"/>
          <w:sz w:val="24"/>
          <w:szCs w:val="24"/>
          <w:lang w:eastAsia="it-IT"/>
        </w:rPr>
        <w:t>15</w:t>
      </w:r>
      <w:r w:rsidRPr="007D1DFE">
        <w:rPr>
          <w:rFonts w:ascii="Times New Roman" w:eastAsia="Times New Roman" w:hAnsi="Times New Roman" w:cs="Times New Roman"/>
          <w:sz w:val="24"/>
          <w:szCs w:val="24"/>
          <w:lang w:eastAsia="it-IT"/>
        </w:rPr>
        <w:t xml:space="preserve"> novembre di ciascun anno</w:t>
      </w:r>
      <w:r w:rsidR="008C3004"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trasmette al R</w:t>
      </w:r>
      <w:r w:rsidR="008C3004" w:rsidRPr="007D1DFE">
        <w:rPr>
          <w:rFonts w:ascii="Times New Roman" w:eastAsia="Times New Roman" w:hAnsi="Times New Roman" w:cs="Times New Roman"/>
          <w:sz w:val="24"/>
          <w:szCs w:val="24"/>
          <w:lang w:eastAsia="it-IT"/>
        </w:rPr>
        <w:t>PCT</w:t>
      </w:r>
      <w:r w:rsidR="00E87A42" w:rsidRPr="007D1DFE">
        <w:rPr>
          <w:rFonts w:ascii="Times New Roman" w:eastAsia="Times New Roman" w:hAnsi="Times New Roman" w:cs="Times New Roman"/>
          <w:sz w:val="24"/>
          <w:szCs w:val="24"/>
          <w:lang w:eastAsia="it-IT"/>
        </w:rPr>
        <w:t>,</w:t>
      </w:r>
      <w:r w:rsidR="008C3004" w:rsidRPr="007D1DFE">
        <w:rPr>
          <w:rFonts w:ascii="Times New Roman" w:eastAsia="Times New Roman" w:hAnsi="Times New Roman" w:cs="Times New Roman"/>
          <w:sz w:val="24"/>
          <w:szCs w:val="24"/>
          <w:lang w:eastAsia="it-IT"/>
        </w:rPr>
        <w:t xml:space="preserve"> </w:t>
      </w:r>
      <w:r w:rsidR="00E87A42" w:rsidRPr="007D1DFE">
        <w:rPr>
          <w:rFonts w:ascii="Times New Roman" w:eastAsia="Times New Roman" w:hAnsi="Times New Roman" w:cs="Times New Roman"/>
          <w:sz w:val="24"/>
          <w:szCs w:val="24"/>
          <w:lang w:eastAsia="it-IT"/>
        </w:rPr>
        <w:t xml:space="preserve">ai fini del monitoraggio annuale sull’attuazione del Codice di comportamento del personale, </w:t>
      </w:r>
      <w:r w:rsidRPr="007D1DFE">
        <w:rPr>
          <w:rFonts w:ascii="Times New Roman" w:eastAsia="Times New Roman" w:hAnsi="Times New Roman" w:cs="Times New Roman"/>
          <w:sz w:val="24"/>
          <w:szCs w:val="24"/>
          <w:lang w:eastAsia="it-IT"/>
        </w:rPr>
        <w:t>i dati aggregati relativi alle infrazioni registrate nonché il numero delle sentenze penali e della Corte dei Conti emesse nei confronti dei dipendent</w:t>
      </w:r>
      <w:r w:rsidR="00E87A42" w:rsidRPr="007D1DFE">
        <w:rPr>
          <w:rFonts w:ascii="Times New Roman" w:eastAsia="Times New Roman" w:hAnsi="Times New Roman" w:cs="Times New Roman"/>
          <w:sz w:val="24"/>
          <w:szCs w:val="24"/>
          <w:lang w:eastAsia="it-IT"/>
        </w:rPr>
        <w:t>i del Consiglio regionale, con l’indicazione dettagliata dei dati relativi a</w:t>
      </w:r>
      <w:r w:rsidRPr="007D1DFE">
        <w:rPr>
          <w:rFonts w:ascii="Times New Roman" w:eastAsia="Times New Roman" w:hAnsi="Times New Roman" w:cs="Times New Roman"/>
          <w:sz w:val="24"/>
          <w:szCs w:val="24"/>
          <w:lang w:eastAsia="it-IT"/>
        </w:rPr>
        <w:t xml:space="preserve"> eventuali condanne per fatti corruttivi.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B6568C" w:rsidRPr="007D1DFE" w:rsidRDefault="00B6568C"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numPr>
          <w:ilvl w:val="2"/>
          <w:numId w:val="8"/>
        </w:numPr>
        <w:spacing w:line="240" w:lineRule="auto"/>
        <w:contextualSpacing/>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Il Responsabile dell’Anagrafe della Stazione Appaltante (RASA).</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RASA è il soggetto, individuato dall’Amministrazione, incaricato della compilazione dell’Anagrafe Unica delle Stazioni Appaltanti (AUS</w:t>
      </w:r>
      <w:r w:rsidR="00BB4211" w:rsidRPr="007D1DFE">
        <w:rPr>
          <w:rFonts w:ascii="Times New Roman" w:eastAsia="Times New Roman" w:hAnsi="Times New Roman" w:cs="Times New Roman"/>
          <w:sz w:val="24"/>
          <w:szCs w:val="24"/>
          <w:lang w:eastAsia="it-IT"/>
        </w:rPr>
        <w:t>A), istituita ai sensi dell’articolo</w:t>
      </w:r>
      <w:r w:rsidRPr="007D1DFE">
        <w:rPr>
          <w:rFonts w:ascii="Times New Roman" w:eastAsia="Times New Roman" w:hAnsi="Times New Roman" w:cs="Times New Roman"/>
          <w:sz w:val="24"/>
          <w:szCs w:val="24"/>
          <w:lang w:eastAsia="it-IT"/>
        </w:rPr>
        <w:t xml:space="preserve"> 33 ter del </w:t>
      </w:r>
      <w:proofErr w:type="spellStart"/>
      <w:r w:rsidRPr="007D1DFE">
        <w:rPr>
          <w:rFonts w:ascii="Times New Roman" w:eastAsia="Times New Roman" w:hAnsi="Times New Roman" w:cs="Times New Roman"/>
          <w:sz w:val="24"/>
          <w:szCs w:val="24"/>
          <w:lang w:eastAsia="it-IT"/>
        </w:rPr>
        <w:t>d</w:t>
      </w:r>
      <w:r w:rsidR="00BB4211" w:rsidRPr="007D1DFE">
        <w:rPr>
          <w:rFonts w:ascii="Times New Roman" w:eastAsia="Times New Roman" w:hAnsi="Times New Roman" w:cs="Times New Roman"/>
          <w:sz w:val="24"/>
          <w:szCs w:val="24"/>
          <w:lang w:eastAsia="it-IT"/>
        </w:rPr>
        <w:t>.l.</w:t>
      </w:r>
      <w:proofErr w:type="spellEnd"/>
      <w:r w:rsidRPr="007D1DFE">
        <w:rPr>
          <w:rFonts w:ascii="Times New Roman" w:eastAsia="Times New Roman" w:hAnsi="Times New Roman" w:cs="Times New Roman"/>
          <w:sz w:val="24"/>
          <w:szCs w:val="24"/>
          <w:lang w:eastAsia="it-IT"/>
        </w:rPr>
        <w:t xml:space="preserve"> 179/2012, convertito, con modific</w:t>
      </w:r>
      <w:r w:rsidR="00BB4211" w:rsidRPr="007D1DFE">
        <w:rPr>
          <w:rFonts w:ascii="Times New Roman" w:eastAsia="Times New Roman" w:hAnsi="Times New Roman" w:cs="Times New Roman"/>
          <w:sz w:val="24"/>
          <w:szCs w:val="24"/>
          <w:lang w:eastAsia="it-IT"/>
        </w:rPr>
        <w:t>azioni,</w:t>
      </w:r>
      <w:r w:rsidRPr="007D1DFE">
        <w:rPr>
          <w:rFonts w:ascii="Times New Roman" w:eastAsia="Times New Roman" w:hAnsi="Times New Roman" w:cs="Times New Roman"/>
          <w:sz w:val="24"/>
          <w:szCs w:val="24"/>
          <w:lang w:eastAsia="it-IT"/>
        </w:rPr>
        <w:t xml:space="preserve"> dalla l</w:t>
      </w:r>
      <w:r w:rsidR="00BB4211"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221/2012.</w:t>
      </w:r>
    </w:p>
    <w:p w:rsidR="009A1E49" w:rsidRPr="007D1DFE" w:rsidRDefault="009A1E49"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 xml:space="preserve">L’Ufficio di </w:t>
      </w:r>
      <w:r w:rsidR="00AD6E8F" w:rsidRPr="007D1DFE">
        <w:rPr>
          <w:rFonts w:ascii="Times New Roman" w:eastAsia="Times New Roman" w:hAnsi="Times New Roman" w:cs="Times New Roman"/>
          <w:sz w:val="24"/>
          <w:szCs w:val="24"/>
          <w:lang w:eastAsia="it-IT"/>
        </w:rPr>
        <w:t>p</w:t>
      </w:r>
      <w:r w:rsidRPr="007D1DFE">
        <w:rPr>
          <w:rFonts w:ascii="Times New Roman" w:eastAsia="Times New Roman" w:hAnsi="Times New Roman" w:cs="Times New Roman"/>
          <w:sz w:val="24"/>
          <w:szCs w:val="24"/>
          <w:lang w:eastAsia="it-IT"/>
        </w:rPr>
        <w:t>residenza, con deliberazione 24 novembre 2016</w:t>
      </w:r>
      <w:r w:rsidR="00AD6E8F" w:rsidRPr="007D1DFE">
        <w:rPr>
          <w:rFonts w:ascii="Times New Roman" w:eastAsia="Times New Roman" w:hAnsi="Times New Roman" w:cs="Times New Roman"/>
          <w:sz w:val="24"/>
          <w:szCs w:val="24"/>
          <w:lang w:eastAsia="it-IT"/>
        </w:rPr>
        <w:t>, n. 154</w:t>
      </w:r>
      <w:r w:rsidRPr="007D1DFE">
        <w:rPr>
          <w:rFonts w:ascii="Times New Roman" w:eastAsia="Times New Roman" w:hAnsi="Times New Roman" w:cs="Times New Roman"/>
          <w:sz w:val="24"/>
          <w:szCs w:val="24"/>
          <w:lang w:eastAsia="it-IT"/>
        </w:rPr>
        <w:t>, ha nominato quale responsabile dell’Amministrazione per l’AUSA</w:t>
      </w:r>
      <w:r w:rsidR="00AD6E8F"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l’ing. Vincenzo Ialongo, Direttore del “Servizio </w:t>
      </w:r>
      <w:r w:rsidR="006A62B5" w:rsidRPr="007D1DFE">
        <w:rPr>
          <w:rFonts w:ascii="Times New Roman" w:eastAsia="Times New Roman" w:hAnsi="Times New Roman" w:cs="Times New Roman"/>
          <w:sz w:val="24"/>
          <w:szCs w:val="24"/>
          <w:lang w:eastAsia="it-IT"/>
        </w:rPr>
        <w:t>T</w:t>
      </w:r>
      <w:r w:rsidRPr="007D1DFE">
        <w:rPr>
          <w:rFonts w:ascii="Times New Roman" w:eastAsia="Times New Roman" w:hAnsi="Times New Roman" w:cs="Times New Roman"/>
          <w:sz w:val="24"/>
          <w:szCs w:val="24"/>
          <w:lang w:eastAsia="it-IT"/>
        </w:rPr>
        <w:t xml:space="preserve">ecnico, </w:t>
      </w:r>
      <w:r w:rsidR="006A62B5" w:rsidRPr="007D1DFE">
        <w:rPr>
          <w:rFonts w:ascii="Times New Roman" w:eastAsia="Times New Roman" w:hAnsi="Times New Roman" w:cs="Times New Roman"/>
          <w:sz w:val="24"/>
          <w:szCs w:val="24"/>
          <w:lang w:eastAsia="it-IT"/>
        </w:rPr>
        <w:t>S</w:t>
      </w:r>
      <w:r w:rsidRPr="007D1DFE">
        <w:rPr>
          <w:rFonts w:ascii="Times New Roman" w:eastAsia="Times New Roman" w:hAnsi="Times New Roman" w:cs="Times New Roman"/>
          <w:sz w:val="24"/>
          <w:szCs w:val="24"/>
          <w:lang w:eastAsia="it-IT"/>
        </w:rPr>
        <w:t>icurezza sui luoghi di lavoro”.</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F00BE4" w:rsidP="007D1DFE">
      <w:pPr>
        <w:numPr>
          <w:ilvl w:val="2"/>
          <w:numId w:val="8"/>
        </w:numPr>
        <w:spacing w:line="240" w:lineRule="auto"/>
        <w:contextualSpacing/>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Il p</w:t>
      </w:r>
      <w:r w:rsidR="009903C3" w:rsidRPr="007D1DFE">
        <w:rPr>
          <w:rFonts w:ascii="Times New Roman" w:eastAsia="Times New Roman" w:hAnsi="Times New Roman" w:cs="Times New Roman"/>
          <w:b/>
          <w:sz w:val="24"/>
          <w:szCs w:val="24"/>
          <w:lang w:eastAsia="it-IT"/>
        </w:rPr>
        <w:t xml:space="preserve">ersonale del Consiglio regionale.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Tutto il personale operante presso il Consiglio regionale è coinvolto nell’attuazione delle disposizioni contenute nella l</w:t>
      </w:r>
      <w:r w:rsidR="00F00BE4"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190/2012 nonché delle prescrizioni e misure del presente P</w:t>
      </w:r>
      <w:r w:rsidR="00F00BE4"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e del Codice di comportamento</w:t>
      </w:r>
      <w:r w:rsidR="00F00BE4" w:rsidRPr="007D1DFE">
        <w:rPr>
          <w:rFonts w:ascii="Times New Roman" w:eastAsia="Times New Roman" w:hAnsi="Times New Roman" w:cs="Times New Roman"/>
          <w:sz w:val="24"/>
          <w:szCs w:val="24"/>
          <w:lang w:eastAsia="it-IT"/>
        </w:rPr>
        <w:t xml:space="preserve"> del personale</w:t>
      </w:r>
      <w:r w:rsidRPr="007D1DFE">
        <w:rPr>
          <w:rFonts w:ascii="Times New Roman" w:eastAsia="Times New Roman" w:hAnsi="Times New Roman" w:cs="Times New Roman"/>
          <w:sz w:val="24"/>
          <w:szCs w:val="24"/>
          <w:lang w:eastAsia="it-IT"/>
        </w:rPr>
        <w:t>. In particolare, è tenuto a segnalare tempestivamente, ai sensi dell’art</w:t>
      </w:r>
      <w:r w:rsidR="00F00BE4" w:rsidRPr="007D1DFE">
        <w:rPr>
          <w:rFonts w:ascii="Times New Roman" w:eastAsia="Times New Roman" w:hAnsi="Times New Roman" w:cs="Times New Roman"/>
          <w:sz w:val="24"/>
          <w:szCs w:val="24"/>
          <w:lang w:eastAsia="it-IT"/>
        </w:rPr>
        <w:t>icolo</w:t>
      </w:r>
      <w:r w:rsidRPr="007D1DFE">
        <w:rPr>
          <w:rFonts w:ascii="Times New Roman" w:eastAsia="Times New Roman" w:hAnsi="Times New Roman" w:cs="Times New Roman"/>
          <w:sz w:val="24"/>
          <w:szCs w:val="24"/>
          <w:lang w:eastAsia="it-IT"/>
        </w:rPr>
        <w:t xml:space="preserve"> 8 del</w:t>
      </w:r>
      <w:r w:rsidR="00F00BE4" w:rsidRPr="007D1DFE">
        <w:rPr>
          <w:rFonts w:ascii="Times New Roman" w:eastAsia="Times New Roman" w:hAnsi="Times New Roman" w:cs="Times New Roman"/>
          <w:sz w:val="24"/>
          <w:szCs w:val="24"/>
          <w:lang w:eastAsia="it-IT"/>
        </w:rPr>
        <w:t>lo stesso</w:t>
      </w:r>
      <w:r w:rsidRPr="007D1DFE">
        <w:rPr>
          <w:rFonts w:ascii="Times New Roman" w:eastAsia="Times New Roman" w:hAnsi="Times New Roman" w:cs="Times New Roman"/>
          <w:sz w:val="24"/>
          <w:szCs w:val="24"/>
          <w:lang w:eastAsia="it-IT"/>
        </w:rPr>
        <w:t xml:space="preserve"> Codice, situazioni di illecito di cui sia venuto a conoscenza nonché situazioni di personale conflitto di interessi </w:t>
      </w:r>
      <w:r w:rsidRPr="007D1DFE">
        <w:rPr>
          <w:rFonts w:ascii="Times New Roman" w:eastAsia="Times New Roman" w:hAnsi="Times New Roman" w:cs="Times New Roman"/>
          <w:sz w:val="24"/>
          <w:szCs w:val="24"/>
          <w:vertAlign w:val="superscript"/>
          <w:lang w:eastAsia="it-IT"/>
        </w:rPr>
        <w:footnoteReference w:id="26"/>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2.3.9. I collaboratori a qualsiasi titolo dell’Amministrazione. </w:t>
      </w:r>
      <w:r w:rsidRPr="007D1DFE">
        <w:rPr>
          <w:rFonts w:ascii="Times New Roman" w:eastAsia="Times New Roman" w:hAnsi="Times New Roman" w:cs="Times New Roman"/>
          <w:b/>
          <w:sz w:val="24"/>
          <w:szCs w:val="24"/>
          <w:lang w:eastAsia="it-IT"/>
        </w:rPr>
        <w:tab/>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Osservano le prescrizioni, in quanto loro applicabili, contenute nel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e nel Codice di comportamento</w:t>
      </w:r>
      <w:r w:rsidR="00D9244C" w:rsidRPr="007D1DFE">
        <w:rPr>
          <w:rFonts w:ascii="Times New Roman" w:eastAsia="Times New Roman" w:hAnsi="Times New Roman" w:cs="Times New Roman"/>
          <w:sz w:val="24"/>
          <w:szCs w:val="24"/>
          <w:lang w:eastAsia="it-IT"/>
        </w:rPr>
        <w:t xml:space="preserve"> del personale</w:t>
      </w:r>
      <w:r w:rsidRPr="007D1DFE">
        <w:rPr>
          <w:rFonts w:ascii="Times New Roman" w:eastAsia="Times New Roman" w:hAnsi="Times New Roman" w:cs="Times New Roman"/>
          <w:sz w:val="24"/>
          <w:szCs w:val="24"/>
          <w:lang w:eastAsia="it-IT"/>
        </w:rPr>
        <w:t xml:space="preserve"> nonché segnalano le situazioni di illecito di cui siano venuti a conoscenza.</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Nei contratti che disciplinano i rapporti con l’Amministrazione, fatta eccezione per i contratti di lavoro, è fatto esplicito riferimento alla possibilità di risoluzione del contratto medesimo nei casi pre</w:t>
      </w:r>
      <w:r w:rsidR="00D9244C" w:rsidRPr="007D1DFE">
        <w:rPr>
          <w:rFonts w:ascii="Times New Roman" w:eastAsia="Times New Roman" w:hAnsi="Times New Roman" w:cs="Times New Roman"/>
          <w:sz w:val="24"/>
          <w:szCs w:val="24"/>
          <w:lang w:eastAsia="it-IT"/>
        </w:rPr>
        <w:t>visti dall’articolo 16, comma 6</w:t>
      </w:r>
      <w:r w:rsidRPr="007D1DFE">
        <w:rPr>
          <w:rFonts w:ascii="Times New Roman" w:eastAsia="Times New Roman" w:hAnsi="Times New Roman" w:cs="Times New Roman"/>
          <w:sz w:val="24"/>
          <w:szCs w:val="24"/>
          <w:lang w:eastAsia="it-IT"/>
        </w:rPr>
        <w:t xml:space="preserve"> del Codice di comportamento del personale</w:t>
      </w:r>
      <w:r w:rsidRPr="007D1DFE">
        <w:rPr>
          <w:rFonts w:ascii="Times New Roman" w:eastAsia="Times New Roman" w:hAnsi="Times New Roman" w:cs="Times New Roman"/>
          <w:sz w:val="24"/>
          <w:szCs w:val="24"/>
          <w:vertAlign w:val="superscript"/>
          <w:lang w:eastAsia="it-IT"/>
        </w:rPr>
        <w:footnoteReference w:id="27"/>
      </w:r>
      <w:r w:rsidRPr="007D1DFE">
        <w:rPr>
          <w:rFonts w:ascii="Times New Roman" w:eastAsia="Times New Roman" w:hAnsi="Times New Roman" w:cs="Times New Roman"/>
          <w:sz w:val="24"/>
          <w:szCs w:val="24"/>
          <w:lang w:eastAsia="it-IT"/>
        </w:rPr>
        <w:t xml:space="preserve">.  </w:t>
      </w:r>
    </w:p>
    <w:p w:rsidR="002E20FA" w:rsidRPr="007D1DFE" w:rsidRDefault="002E20FA" w:rsidP="007D1DFE">
      <w:pPr>
        <w:spacing w:line="240" w:lineRule="auto"/>
        <w:ind w:firstLine="708"/>
        <w:jc w:val="both"/>
        <w:rPr>
          <w:rFonts w:ascii="Times New Roman" w:eastAsia="Times New Roman" w:hAnsi="Times New Roman" w:cs="Times New Roman"/>
          <w:sz w:val="24"/>
          <w:szCs w:val="24"/>
          <w:lang w:eastAsia="it-IT"/>
        </w:rPr>
      </w:pPr>
    </w:p>
    <w:p w:rsidR="002E20FA" w:rsidRPr="007D1DFE" w:rsidRDefault="002E20FA"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2.4. La Gestione del rischio.</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Ai fini della gestione e trattamento dei rischi di eventi di corruzione nello svolgimento dell’attività istituzionale e amministrativa del Consiglio</w:t>
      </w:r>
      <w:r w:rsidR="003F6893" w:rsidRPr="007D1DFE">
        <w:rPr>
          <w:rFonts w:ascii="Times New Roman" w:eastAsia="Times New Roman" w:hAnsi="Times New Roman" w:cs="Times New Roman"/>
          <w:sz w:val="24"/>
          <w:szCs w:val="24"/>
          <w:lang w:eastAsia="it-IT"/>
        </w:rPr>
        <w:t xml:space="preserve"> regionale</w:t>
      </w:r>
      <w:r w:rsidRPr="007D1DFE">
        <w:rPr>
          <w:rFonts w:ascii="Times New Roman" w:eastAsia="Times New Roman" w:hAnsi="Times New Roman" w:cs="Times New Roman"/>
          <w:sz w:val="24"/>
          <w:szCs w:val="24"/>
          <w:lang w:eastAsia="it-IT"/>
        </w:rPr>
        <w:t>, si è proceduto, con le modalità e la tempistica segnalati nel paragrafo 2.1., alla cosiddetta “mappatura dei rischi”.</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Ciascuna scheda riportata nell’Allegato 4, presenta, nella prima colonna a sinistra, l’indicazione della “area di rischio” (da intendersi</w:t>
      </w:r>
      <w:r w:rsidR="003F6893" w:rsidRPr="007D1DFE">
        <w:rPr>
          <w:rFonts w:ascii="Times New Roman" w:eastAsia="Times New Roman" w:hAnsi="Times New Roman" w:cs="Times New Roman"/>
          <w:sz w:val="24"/>
          <w:szCs w:val="24"/>
          <w:lang w:eastAsia="it-IT"/>
        </w:rPr>
        <w:t xml:space="preserve"> nei termini precisati </w:t>
      </w:r>
      <w:r w:rsidRPr="007D1DFE">
        <w:rPr>
          <w:rFonts w:ascii="Times New Roman" w:eastAsia="Times New Roman" w:hAnsi="Times New Roman" w:cs="Times New Roman"/>
          <w:sz w:val="24"/>
          <w:szCs w:val="24"/>
          <w:lang w:eastAsia="it-IT"/>
        </w:rPr>
        <w:t>nel paragrafo 2.1.</w:t>
      </w:r>
      <w:r w:rsidR="003F6893"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 xml:space="preserve">a cui fa riferimento ciascun processo che viene preso in esame. </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Nell’Allegato 2 al Piano Nazionale Anticorruzione (P.N.A) 2013 sono indicate le quattro aree di rischio </w:t>
      </w:r>
      <w:r w:rsidRPr="007D1DFE">
        <w:rPr>
          <w:rFonts w:ascii="Times New Roman" w:eastAsia="Times New Roman" w:hAnsi="Times New Roman" w:cs="Times New Roman"/>
          <w:sz w:val="24"/>
          <w:szCs w:val="24"/>
          <w:vertAlign w:val="superscript"/>
          <w:lang w:eastAsia="it-IT"/>
        </w:rPr>
        <w:footnoteReference w:id="28"/>
      </w:r>
      <w:r w:rsidRPr="007D1DFE">
        <w:rPr>
          <w:rFonts w:ascii="Times New Roman" w:eastAsia="Times New Roman" w:hAnsi="Times New Roman" w:cs="Times New Roman"/>
          <w:sz w:val="24"/>
          <w:szCs w:val="24"/>
          <w:lang w:eastAsia="it-IT"/>
        </w:rPr>
        <w:t xml:space="preserve"> e</w:t>
      </w:r>
      <w:r w:rsidR="009A568F"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conseguentemente</w:t>
      </w:r>
      <w:r w:rsidR="009A568F"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i processi relativi a esse, che ogni amministrazione è tenuta ad esaminare in sede di predisposizione del proprio P</w:t>
      </w:r>
      <w:r w:rsidR="009A568F"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Oltre a dette aree, ciascuna amministrazione è tenuta ad individuarne di ulteriori in base alle proprie specificità.</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Nel presente P</w:t>
      </w:r>
      <w:r w:rsidR="009A568F" w:rsidRPr="007D1DFE">
        <w:rPr>
          <w:rFonts w:ascii="Times New Roman" w:eastAsia="Times New Roman" w:hAnsi="Times New Roman" w:cs="Times New Roman"/>
          <w:sz w:val="24"/>
          <w:szCs w:val="24"/>
          <w:lang w:eastAsia="it-IT"/>
        </w:rPr>
        <w:t xml:space="preserve">TPC </w:t>
      </w:r>
      <w:r w:rsidRPr="007D1DFE">
        <w:rPr>
          <w:rFonts w:ascii="Times New Roman" w:eastAsia="Times New Roman" w:hAnsi="Times New Roman" w:cs="Times New Roman"/>
          <w:sz w:val="24"/>
          <w:szCs w:val="24"/>
          <w:lang w:eastAsia="it-IT"/>
        </w:rPr>
        <w:t>è stata prefigurata, in aggiunta alle suddette quattro aree, anche un’altra</w:t>
      </w:r>
      <w:r w:rsidR="009A568F" w:rsidRPr="007D1DFE">
        <w:rPr>
          <w:rFonts w:ascii="Times New Roman" w:eastAsia="Times New Roman" w:hAnsi="Times New Roman" w:cs="Times New Roman"/>
          <w:sz w:val="24"/>
          <w:szCs w:val="24"/>
          <w:lang w:eastAsia="it-IT"/>
        </w:rPr>
        <w:t xml:space="preserve"> area</w:t>
      </w:r>
      <w:r w:rsidRPr="007D1DFE">
        <w:rPr>
          <w:rFonts w:ascii="Times New Roman" w:eastAsia="Times New Roman" w:hAnsi="Times New Roman" w:cs="Times New Roman"/>
          <w:sz w:val="24"/>
          <w:szCs w:val="24"/>
          <w:lang w:eastAsia="it-IT"/>
        </w:rPr>
        <w:t xml:space="preserve">, </w:t>
      </w:r>
      <w:r w:rsidR="009A568F" w:rsidRPr="007D1DFE">
        <w:rPr>
          <w:rFonts w:ascii="Times New Roman" w:eastAsia="Times New Roman" w:hAnsi="Times New Roman" w:cs="Times New Roman"/>
          <w:sz w:val="24"/>
          <w:szCs w:val="24"/>
          <w:lang w:eastAsia="it-IT"/>
        </w:rPr>
        <w:t xml:space="preserve">a </w:t>
      </w:r>
      <w:r w:rsidRPr="007D1DFE">
        <w:rPr>
          <w:rFonts w:ascii="Times New Roman" w:eastAsia="Times New Roman" w:hAnsi="Times New Roman" w:cs="Times New Roman"/>
          <w:sz w:val="24"/>
          <w:szCs w:val="24"/>
          <w:lang w:eastAsia="it-IT"/>
        </w:rPr>
        <w:t>carattere residuale, ritenuta necessaria in relazione alla specificità dell’</w:t>
      </w:r>
      <w:r w:rsidR="009A568F" w:rsidRPr="007D1DFE">
        <w:rPr>
          <w:rFonts w:ascii="Times New Roman" w:eastAsia="Times New Roman" w:hAnsi="Times New Roman" w:cs="Times New Roman"/>
          <w:sz w:val="24"/>
          <w:szCs w:val="24"/>
          <w:lang w:eastAsia="it-IT"/>
        </w:rPr>
        <w:t>o</w:t>
      </w:r>
      <w:r w:rsidRPr="007D1DFE">
        <w:rPr>
          <w:rFonts w:ascii="Times New Roman" w:eastAsia="Times New Roman" w:hAnsi="Times New Roman" w:cs="Times New Roman"/>
          <w:sz w:val="24"/>
          <w:szCs w:val="24"/>
          <w:lang w:eastAsia="it-IT"/>
        </w:rPr>
        <w:t xml:space="preserve">rgano consiliare. </w:t>
      </w:r>
      <w:r w:rsidR="009A568F" w:rsidRPr="007D1DFE">
        <w:rPr>
          <w:rFonts w:ascii="Times New Roman" w:eastAsia="Times New Roman" w:hAnsi="Times New Roman" w:cs="Times New Roman"/>
          <w:sz w:val="24"/>
          <w:szCs w:val="24"/>
          <w:lang w:eastAsia="it-IT"/>
        </w:rPr>
        <w:t>Ta</w:t>
      </w:r>
      <w:r w:rsidRPr="007D1DFE">
        <w:rPr>
          <w:rFonts w:ascii="Times New Roman" w:eastAsia="Times New Roman" w:hAnsi="Times New Roman" w:cs="Times New Roman"/>
          <w:sz w:val="24"/>
          <w:szCs w:val="24"/>
          <w:lang w:eastAsia="it-IT"/>
        </w:rPr>
        <w:t>le ulteriore area di rischio è stata denomina</w:t>
      </w:r>
      <w:r w:rsidR="009A568F" w:rsidRPr="007D1DFE">
        <w:rPr>
          <w:rFonts w:ascii="Times New Roman" w:eastAsia="Times New Roman" w:hAnsi="Times New Roman" w:cs="Times New Roman"/>
          <w:sz w:val="24"/>
          <w:szCs w:val="24"/>
          <w:lang w:eastAsia="it-IT"/>
        </w:rPr>
        <w:t>ta</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i/>
          <w:sz w:val="24"/>
          <w:szCs w:val="24"/>
          <w:lang w:eastAsia="it-IT"/>
        </w:rPr>
        <w:t>Finalità istituzionali</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 base alle indicazioni vincolanti fornite nell’Allegato 5 al P.N.A. e tenuti in debito conto tutti i contributi forniti dagli uffici dell’Amministrazione - con i quali sono intercorsi continui contatti  nella fase di predisposizione del presente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 ogni processo ritenuto potenzialmente “a rischio corruzione” è stato ulteriormente analizzato dal R</w:t>
      </w:r>
      <w:r w:rsidR="009A568F" w:rsidRPr="007D1DFE">
        <w:rPr>
          <w:rFonts w:ascii="Times New Roman" w:eastAsia="Times New Roman" w:hAnsi="Times New Roman" w:cs="Times New Roman"/>
          <w:sz w:val="24"/>
          <w:szCs w:val="24"/>
          <w:lang w:eastAsia="it-IT"/>
        </w:rPr>
        <w:t xml:space="preserve">PCT </w:t>
      </w:r>
      <w:r w:rsidRPr="007D1DFE">
        <w:rPr>
          <w:rFonts w:ascii="Times New Roman" w:eastAsia="Times New Roman" w:hAnsi="Times New Roman" w:cs="Times New Roman"/>
          <w:sz w:val="24"/>
          <w:szCs w:val="24"/>
          <w:lang w:eastAsia="it-IT"/>
        </w:rPr>
        <w:t xml:space="preserve">nelle proprie caratteristiche, esaminate in termini di probabilità dell’evento </w:t>
      </w:r>
      <w:r w:rsidRPr="007D1DFE">
        <w:rPr>
          <w:rFonts w:ascii="Times New Roman" w:eastAsia="Times New Roman" w:hAnsi="Times New Roman" w:cs="Times New Roman"/>
          <w:sz w:val="24"/>
          <w:szCs w:val="24"/>
          <w:vertAlign w:val="superscript"/>
          <w:lang w:eastAsia="it-IT"/>
        </w:rPr>
        <w:footnoteReference w:id="29"/>
      </w:r>
      <w:r w:rsidRPr="007D1DFE">
        <w:rPr>
          <w:rFonts w:ascii="Times New Roman" w:eastAsia="Times New Roman" w:hAnsi="Times New Roman" w:cs="Times New Roman"/>
          <w:sz w:val="24"/>
          <w:szCs w:val="24"/>
          <w:lang w:eastAsia="it-IT"/>
        </w:rPr>
        <w:t xml:space="preserve">  nonché del grado di impatto a livello economico, organizzativo e di reputazione dell’Amministrazione, valutandone quindi la pericolosità in relazione alla gravità dei suoi effetti. </w:t>
      </w:r>
    </w:p>
    <w:p w:rsidR="00C5140D"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Nello specifico, il livello di rischio insito in ciascun processo è stato quantificato, attribuendo un punteggio basato sulla probabilità che l’evento rischioso si verifichi</w:t>
      </w:r>
      <w:r w:rsidR="009A568F" w:rsidRPr="007D1DFE">
        <w:rPr>
          <w:rFonts w:ascii="Times New Roman" w:eastAsia="Times New Roman" w:hAnsi="Times New Roman" w:cs="Times New Roman"/>
          <w:sz w:val="24"/>
          <w:szCs w:val="24"/>
          <w:lang w:eastAsia="it-IT"/>
        </w:rPr>
        <w:t xml:space="preserve"> e</w:t>
      </w:r>
      <w:r w:rsidRPr="007D1DFE">
        <w:rPr>
          <w:rFonts w:ascii="Times New Roman" w:eastAsia="Times New Roman" w:hAnsi="Times New Roman" w:cs="Times New Roman"/>
          <w:sz w:val="24"/>
          <w:szCs w:val="24"/>
          <w:lang w:eastAsia="it-IT"/>
        </w:rPr>
        <w:t xml:space="preserve"> un altro punteggio </w:t>
      </w:r>
      <w:r w:rsidR="009A568F" w:rsidRPr="007D1DFE">
        <w:rPr>
          <w:rFonts w:ascii="Times New Roman" w:eastAsia="Times New Roman" w:hAnsi="Times New Roman" w:cs="Times New Roman"/>
          <w:sz w:val="24"/>
          <w:szCs w:val="24"/>
          <w:lang w:eastAsia="it-IT"/>
        </w:rPr>
        <w:t>rife</w:t>
      </w:r>
      <w:r w:rsidRPr="007D1DFE">
        <w:rPr>
          <w:rFonts w:ascii="Times New Roman" w:eastAsia="Times New Roman" w:hAnsi="Times New Roman" w:cs="Times New Roman"/>
          <w:sz w:val="24"/>
          <w:szCs w:val="24"/>
          <w:lang w:eastAsia="it-IT"/>
        </w:rPr>
        <w:t>rito al suddetto impatto, sempre secondo la metodologia prescritta dall’Allegato 5 al P</w:t>
      </w:r>
      <w:r w:rsidR="009A568F" w:rsidRPr="007D1DFE">
        <w:rPr>
          <w:rFonts w:ascii="Times New Roman" w:eastAsia="Times New Roman" w:hAnsi="Times New Roman" w:cs="Times New Roman"/>
          <w:sz w:val="24"/>
          <w:szCs w:val="24"/>
          <w:lang w:eastAsia="it-IT"/>
        </w:rPr>
        <w:t>NA</w:t>
      </w:r>
      <w:r w:rsidRPr="007D1DFE">
        <w:rPr>
          <w:rFonts w:ascii="Times New Roman" w:eastAsia="Times New Roman" w:hAnsi="Times New Roman" w:cs="Times New Roman"/>
          <w:sz w:val="24"/>
          <w:szCs w:val="24"/>
          <w:lang w:eastAsia="it-IT"/>
        </w:rPr>
        <w:t xml:space="preserve">, per poi così pervenire alla valutazione complessiva del rischio risultante dal prodotto tra la media aritmetica dei punteggi delle probabilità e la media aritmetica dei punteggi dell’impatto. </w:t>
      </w:r>
    </w:p>
    <w:p w:rsidR="00C5140D"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Un’avvertenza, peraltro, s’impone: come si può rilevare, in alcuni casi processi analoghi, ma svolti da strutture diverse (es. affidamenti di servizi o forniture), presentano punteggi di valutazione complessiva del rischio non del tutto allineati. Ciò può dipendere anche dal fatto che tra gli indici di valutazione dell’impatto che devono essere considerati ai sensi del P.N.A. vi è quello, concernente il cosiddetto “impatto organizzativo”, </w:t>
      </w:r>
      <w:bookmarkStart w:id="0" w:name="_Hlk532335087"/>
      <w:r w:rsidRPr="007D1DFE">
        <w:rPr>
          <w:rFonts w:ascii="Times New Roman" w:eastAsia="Times New Roman" w:hAnsi="Times New Roman" w:cs="Times New Roman"/>
          <w:sz w:val="24"/>
          <w:szCs w:val="24"/>
          <w:lang w:eastAsia="it-IT"/>
        </w:rPr>
        <w:t>che si basa sulla percentuale di personale impiegato nella singola unità organizzativa semplice competente a svolgere il processo, rispetto al totale del personale impiegato nella medesima unità organizzativa</w:t>
      </w:r>
      <w:bookmarkEnd w:id="0"/>
      <w:r w:rsidRPr="007D1DFE">
        <w:rPr>
          <w:rFonts w:ascii="Times New Roman" w:eastAsia="Times New Roman" w:hAnsi="Times New Roman" w:cs="Times New Roman"/>
          <w:sz w:val="24"/>
          <w:szCs w:val="24"/>
          <w:lang w:eastAsia="it-IT"/>
        </w:rPr>
        <w:t xml:space="preserve">. In base alla scala numerica sempre determinata dal P.N.A., potendo il punteggio variare da </w:t>
      </w:r>
      <w:smartTag w:uri="urn:schemas-microsoft-com:office:smarttags" w:element="metricconverter">
        <w:smartTagPr>
          <w:attr w:name="ProductID" w:val="1 a"/>
        </w:smartTagPr>
        <w:r w:rsidRPr="007D1DFE">
          <w:rPr>
            <w:rFonts w:ascii="Times New Roman" w:eastAsia="Times New Roman" w:hAnsi="Times New Roman" w:cs="Times New Roman"/>
            <w:sz w:val="24"/>
            <w:szCs w:val="24"/>
            <w:lang w:eastAsia="it-IT"/>
          </w:rPr>
          <w:t>1 a</w:t>
        </w:r>
      </w:smartTag>
      <w:r w:rsidRPr="007D1DFE">
        <w:rPr>
          <w:rFonts w:ascii="Times New Roman" w:eastAsia="Times New Roman" w:hAnsi="Times New Roman" w:cs="Times New Roman"/>
          <w:sz w:val="24"/>
          <w:szCs w:val="24"/>
          <w:lang w:eastAsia="it-IT"/>
        </w:rPr>
        <w:t xml:space="preserve"> 5, le strutture con un minor numero di dipendenti vedranno inevitabilmente innalzarsi il loro punteggio, poiché la percentuale degli addetti a quel determinato processo risulterà alta rispetto al totale dei dipendenti in servizio presso l’unità organizzativa. </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 xml:space="preserve">Al termine di tali operazioni, effettuate di norma in collegamento con ciascuna unità interessata dallo specifico processo considerato, si è proceduto alla ponderazione dei rischi, comparandoli tra di loro, in modo da far emergere “le priorità e l’urgenza di trattamento” </w:t>
      </w:r>
      <w:r w:rsidRPr="007D1DFE">
        <w:rPr>
          <w:rFonts w:ascii="Times New Roman" w:eastAsia="Times New Roman" w:hAnsi="Times New Roman" w:cs="Times New Roman"/>
          <w:sz w:val="24"/>
          <w:szCs w:val="24"/>
          <w:vertAlign w:val="superscript"/>
          <w:lang w:eastAsia="it-IT"/>
        </w:rPr>
        <w:footnoteReference w:id="30"/>
      </w:r>
      <w:r w:rsidRPr="007D1DFE">
        <w:rPr>
          <w:rFonts w:ascii="Times New Roman" w:eastAsia="Times New Roman" w:hAnsi="Times New Roman" w:cs="Times New Roman"/>
          <w:sz w:val="24"/>
          <w:szCs w:val="24"/>
          <w:lang w:eastAsia="it-IT"/>
        </w:rPr>
        <w:t>.</w:t>
      </w:r>
    </w:p>
    <w:p w:rsidR="009903C3" w:rsidRPr="007D1DFE" w:rsidRDefault="009A568F"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 tal punto, i singoli rischi e</w:t>
      </w:r>
      <w:r w:rsidR="009903C3" w:rsidRPr="007D1DFE">
        <w:rPr>
          <w:rFonts w:ascii="Times New Roman" w:eastAsia="Times New Roman" w:hAnsi="Times New Roman" w:cs="Times New Roman"/>
          <w:sz w:val="24"/>
          <w:szCs w:val="24"/>
          <w:lang w:eastAsia="it-IT"/>
        </w:rPr>
        <w:t xml:space="preserve"> i relativi processi sono stati inseriti in una classifica del livello di rischio, comprensiva di tre fasce: a rischio basso, a rischio medio, a rischio alto </w:t>
      </w:r>
      <w:r w:rsidR="009903C3" w:rsidRPr="007D1DFE">
        <w:rPr>
          <w:rFonts w:ascii="Times New Roman" w:eastAsia="Times New Roman" w:hAnsi="Times New Roman" w:cs="Times New Roman"/>
          <w:sz w:val="24"/>
          <w:szCs w:val="24"/>
          <w:vertAlign w:val="superscript"/>
          <w:lang w:eastAsia="it-IT"/>
        </w:rPr>
        <w:footnoteReference w:id="31"/>
      </w:r>
      <w:r w:rsidR="009903C3" w:rsidRPr="007D1DFE">
        <w:rPr>
          <w:rFonts w:ascii="Times New Roman" w:eastAsia="Times New Roman" w:hAnsi="Times New Roman" w:cs="Times New Roman"/>
          <w:sz w:val="24"/>
          <w:szCs w:val="24"/>
          <w:lang w:eastAsia="it-IT"/>
        </w:rPr>
        <w:t xml:space="preserve">.   </w:t>
      </w:r>
    </w:p>
    <w:p w:rsidR="009903C3" w:rsidRPr="007D1DFE" w:rsidRDefault="009A568F"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È </w:t>
      </w:r>
      <w:r w:rsidR="009903C3" w:rsidRPr="007D1DFE">
        <w:rPr>
          <w:rFonts w:ascii="Times New Roman" w:eastAsia="Times New Roman" w:hAnsi="Times New Roman" w:cs="Times New Roman"/>
          <w:sz w:val="24"/>
          <w:szCs w:val="24"/>
          <w:lang w:eastAsia="it-IT"/>
        </w:rPr>
        <w:t>del tutto evidente che i processi per i quali è scaturito un punteggio complessivo più alto dovranno essere oggetto di ancora maggiore attenzione rispetto a tutti gli altri, nel senso che impongono l’adozione di adeguate mi</w:t>
      </w:r>
      <w:r w:rsidRPr="007D1DFE">
        <w:rPr>
          <w:rFonts w:ascii="Times New Roman" w:eastAsia="Times New Roman" w:hAnsi="Times New Roman" w:cs="Times New Roman"/>
          <w:sz w:val="24"/>
          <w:szCs w:val="24"/>
          <w:lang w:eastAsia="it-IT"/>
        </w:rPr>
        <w:t>sure di prevenzione del rischio e</w:t>
      </w:r>
      <w:r w:rsidR="009903C3" w:rsidRPr="007D1DFE">
        <w:rPr>
          <w:rFonts w:ascii="Times New Roman" w:eastAsia="Times New Roman" w:hAnsi="Times New Roman" w:cs="Times New Roman"/>
          <w:sz w:val="24"/>
          <w:szCs w:val="24"/>
          <w:lang w:eastAsia="it-IT"/>
        </w:rPr>
        <w:t xml:space="preserve"> una costante ed attenta attività di monitoraggio.</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Proprio in relazione alle “misure” di prevenzione presenti in ogni scheda, viene segnalato il termine ritenuto congruo entro il quale la misura stessa dovrà concretamente essere applicata. Per ciascuna misura, inoltre, è stata individuata la struttura amministrativa attualmente competente per l’attuazione.</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Nell’eventualità in cui una struttura sia chiamata a svolgere occasionalmente un processo per il quale non sia prevista, a carico della struttura medesima, l’adozione di misure per la gestione del rischio, è fatto obbligo alla stessa di fare comunque riferimento, per quanto possibile, alle misure prefigurate per analoghi processi abitualmente svolti da altre strutture. </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Oltre alle misure specifiche individuate nell’Allegato 4 per ciascun processo, il presente Piano prende in considerazione anche altre misure ed iniziative, di carattere generale e/o trasversale, che devono comunque essere applicate per ciascuna area di rischio.</w:t>
      </w:r>
    </w:p>
    <w:p w:rsidR="009903C3" w:rsidRPr="007D1DFE" w:rsidRDefault="009903C3" w:rsidP="007D1DFE">
      <w:pPr>
        <w:spacing w:line="240" w:lineRule="auto"/>
        <w:ind w:firstLine="284"/>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Tali misure sono esaminate nei successivi paragrafi.</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E267DA" w:rsidRPr="007D1DFE" w:rsidRDefault="00E267DA"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b/>
          <w:sz w:val="24"/>
          <w:szCs w:val="24"/>
          <w:lang w:eastAsia="it-IT"/>
        </w:rPr>
        <w:t xml:space="preserve">Le attività e le misure di prevenzione da adottare in generale.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Tra le attività e le misure da adottare in generale per la gestione del rischio, si segnalano, in particolare, le seguenti: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il raccordo e le comunicazioni tra gli uffici dovranno avvenire utilizzando tecnologie informatizzate che permettano la tracciabilità del processo e dei suoi risultati;</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 adeguata motivazione di tutti gli atti e provvedimenti con i quali si manifesta la volontà o la scelta dell’Amministrazione ed in particolare dei provvedimenti che presentano margini di discrezionalità, con puntuale indicazione di tutti gli atti, fatti e circostanze considerate ai fini della decisione adottata;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separazione, per quanto possibile, tra l’attività istruttoria e la responsabilità dell’adozione dell’atto finale, curando che essa spetti, di regola, a personale di livello o con funzioni dirigenziali;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scrupoloso rispetto delle disposizioni in materia di procedimento amministrativo, con particolare riferimento ai termini di conclusione del procedimento con provvedimento espresso, con il divieto di aggravio dello stesso, scongiurando l’utilizzo improprio di attività consultive nonché l’ingiustificata frammentazione di competenze attraverso tecniche di </w:t>
      </w:r>
      <w:proofErr w:type="spellStart"/>
      <w:r w:rsidRPr="007D1DFE">
        <w:rPr>
          <w:rFonts w:ascii="Times New Roman" w:eastAsia="Times New Roman" w:hAnsi="Times New Roman" w:cs="Times New Roman"/>
          <w:i/>
          <w:sz w:val="24"/>
          <w:szCs w:val="24"/>
          <w:lang w:eastAsia="it-IT"/>
        </w:rPr>
        <w:t>remand</w:t>
      </w:r>
      <w:proofErr w:type="spellEnd"/>
      <w:r w:rsidRPr="007D1DFE">
        <w:rPr>
          <w:rFonts w:ascii="Times New Roman" w:eastAsia="Times New Roman" w:hAnsi="Times New Roman" w:cs="Times New Roman"/>
          <w:i/>
          <w:sz w:val="24"/>
          <w:szCs w:val="24"/>
          <w:lang w:eastAsia="it-IT"/>
        </w:rPr>
        <w:t xml:space="preserve"> </w:t>
      </w:r>
      <w:r w:rsidRPr="007D1DFE">
        <w:rPr>
          <w:rFonts w:ascii="Times New Roman" w:eastAsia="Times New Roman" w:hAnsi="Times New Roman" w:cs="Times New Roman"/>
          <w:sz w:val="24"/>
          <w:szCs w:val="24"/>
          <w:lang w:eastAsia="it-IT"/>
        </w:rPr>
        <w:t>tra uffici;</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applicazione della regola della selezione per ciascun tipo di incarico, nomina o designazione, laddove queste non abbiano carattere fiduciario.</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Sono da considerarsi poi obbligatorie le misure descritte nei paragrafi seguenti.</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E267DA" w:rsidRPr="007D1DFE" w:rsidRDefault="00E267DA" w:rsidP="007D1DFE">
      <w:pPr>
        <w:spacing w:line="240" w:lineRule="auto"/>
        <w:jc w:val="both"/>
        <w:rPr>
          <w:rFonts w:ascii="Times New Roman" w:eastAsia="Times New Roman" w:hAnsi="Times New Roman" w:cs="Times New Roman"/>
          <w:b/>
          <w:sz w:val="24"/>
          <w:szCs w:val="24"/>
          <w:lang w:eastAsia="it-IT"/>
        </w:rPr>
      </w:pPr>
    </w:p>
    <w:p w:rsidR="00E267DA" w:rsidRPr="007D1DFE" w:rsidRDefault="00E267DA" w:rsidP="007D1DFE">
      <w:pPr>
        <w:spacing w:line="240" w:lineRule="auto"/>
        <w:jc w:val="both"/>
        <w:rPr>
          <w:rFonts w:ascii="Times New Roman" w:eastAsia="Times New Roman" w:hAnsi="Times New Roman" w:cs="Times New Roman"/>
          <w:b/>
          <w:sz w:val="24"/>
          <w:szCs w:val="24"/>
          <w:lang w:eastAsia="it-IT"/>
        </w:rPr>
      </w:pPr>
    </w:p>
    <w:p w:rsidR="00E267DA" w:rsidRPr="007D1DFE" w:rsidRDefault="00E267DA"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lastRenderedPageBreak/>
        <w:t>2.5.1. Il Codice di comportamento.</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Codice di comportamento del Consiglio regionale è stato adottato dall’Ufficio di presidenza con deliberazione 12 marzo 2015, n. 18 </w:t>
      </w:r>
      <w:r w:rsidRPr="007D1DFE">
        <w:rPr>
          <w:rFonts w:ascii="Times New Roman" w:eastAsia="Times New Roman" w:hAnsi="Times New Roman" w:cs="Times New Roman"/>
          <w:sz w:val="24"/>
          <w:szCs w:val="24"/>
          <w:vertAlign w:val="superscript"/>
          <w:lang w:eastAsia="it-IT"/>
        </w:rPr>
        <w:footnoteReference w:id="32"/>
      </w:r>
      <w:r w:rsidRPr="007D1DFE">
        <w:rPr>
          <w:rFonts w:ascii="Times New Roman" w:eastAsia="Times New Roman" w:hAnsi="Times New Roman" w:cs="Times New Roman"/>
          <w:sz w:val="24"/>
          <w:szCs w:val="24"/>
          <w:lang w:eastAsia="it-IT"/>
        </w:rPr>
        <w:t xml:space="preserve"> ed inviato via mail a tutti i dipendenti nonché all’Autorità nazionale anticorruzione, unitamente alla relazione illustrativa.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Ciascun dirigente è tenuto a promuoverne la conoscenza da parte dei dipendenti della struttura cui è preposto attraverso momenti di incontro e di formazione specifica - la cui realizzazione deve essere puntualmente riferita al Responsabile per la prevenzione della corruzione nei report periodici - e vigilare sul rispetto delle prescrizioni, anche ai fini di un’eventuale attivazione del procedimento disciplinare e della valutazione individuale del singolo dipendente.</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In ogni caso dovranno essere prese in esame eventuali segnalazioni di cittadini all’URP per violazioni del Codice di comportamento, nonché per raccogliere proficue indicazioni per  l’aggiornamento del Codice.</w:t>
      </w:r>
    </w:p>
    <w:p w:rsidR="00D91C7E" w:rsidRPr="007D1DFE" w:rsidRDefault="00D91C7E"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 proposito è opportuno evidenziare che l’URP ha realizzato nel corso dell’anno 2018 un </w:t>
      </w:r>
      <w:r w:rsidR="00D323C1" w:rsidRPr="007D1DFE">
        <w:rPr>
          <w:rFonts w:ascii="Times New Roman" w:eastAsia="Times New Roman" w:hAnsi="Times New Roman" w:cs="Times New Roman"/>
          <w:sz w:val="24"/>
          <w:szCs w:val="24"/>
          <w:lang w:eastAsia="it-IT"/>
        </w:rPr>
        <w:t xml:space="preserve">sistema on line rivolto all’utenza per inoltrare reclami o lamentare disservizi </w:t>
      </w:r>
      <w:r w:rsidRPr="007D1DFE">
        <w:rPr>
          <w:rFonts w:ascii="Times New Roman" w:eastAsia="Times New Roman" w:hAnsi="Times New Roman" w:cs="Times New Roman"/>
          <w:sz w:val="24"/>
          <w:szCs w:val="24"/>
          <w:lang w:eastAsia="it-IT"/>
        </w:rPr>
        <w:t xml:space="preserve">attraverso il sito istituzionale che può svolgere una funzione anche quale indicatore di criticità significative </w:t>
      </w:r>
      <w:r w:rsidR="006F39CB" w:rsidRPr="007D1DFE">
        <w:rPr>
          <w:rFonts w:ascii="Times New Roman" w:eastAsia="Times New Roman" w:hAnsi="Times New Roman" w:cs="Times New Roman"/>
          <w:sz w:val="24"/>
          <w:szCs w:val="24"/>
          <w:lang w:eastAsia="it-IT"/>
        </w:rPr>
        <w:t>su</w:t>
      </w:r>
      <w:r w:rsidR="00505A6B" w:rsidRPr="007D1DFE">
        <w:rPr>
          <w:rFonts w:ascii="Times New Roman" w:eastAsia="Times New Roman" w:hAnsi="Times New Roman" w:cs="Times New Roman"/>
          <w:sz w:val="24"/>
          <w:szCs w:val="24"/>
          <w:lang w:eastAsia="it-IT"/>
        </w:rPr>
        <w:t>ll’adempimento del Codice</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Responsabile per la prevenzione della corruzione è tenuto a monitorare l’applicazione delle disposizioni del Codice, redigendo ogni anno, sulla base dei dati acquisiti presso la struttura competente per i procedimenti disciplinari, una relazione che attesti eventuali criticità nell’attuazione del Codice medesimo e i provvedimenti disciplinari applicati, nonché l’ammontare di eventuali condanne per fatti corruttivi. Tale documento, ai sensi dell’articolo 15 del D.P.R. 62/2013, è trasmesso all'Autorità' </w:t>
      </w:r>
      <w:r w:rsidR="0091796D" w:rsidRPr="007D1DFE">
        <w:rPr>
          <w:rFonts w:ascii="Times New Roman" w:eastAsia="Times New Roman" w:hAnsi="Times New Roman" w:cs="Times New Roman"/>
          <w:sz w:val="24"/>
          <w:szCs w:val="24"/>
          <w:lang w:eastAsia="it-IT"/>
        </w:rPr>
        <w:t>N</w:t>
      </w:r>
      <w:r w:rsidRPr="007D1DFE">
        <w:rPr>
          <w:rFonts w:ascii="Times New Roman" w:eastAsia="Times New Roman" w:hAnsi="Times New Roman" w:cs="Times New Roman"/>
          <w:sz w:val="24"/>
          <w:szCs w:val="24"/>
          <w:lang w:eastAsia="it-IT"/>
        </w:rPr>
        <w:t xml:space="preserve">azionale </w:t>
      </w:r>
      <w:r w:rsidR="0091796D"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 xml:space="preserve">nticorruzione, anche nell’ambito della più ampia relazione sull’attività svolta, in generale, nel corso dell’anno.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2.5.2.</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b/>
          <w:sz w:val="24"/>
          <w:szCs w:val="24"/>
          <w:lang w:eastAsia="it-IT"/>
        </w:rPr>
        <w:t>Formazione.</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Negli anni scorsi, a partire dal 2014, sono state svolte, sulla base di indicazioni fornite dal responsabile PCT, attività di formazione in materia di prevenzione della corruzione e di trasparenza, sia a carattere generale, rivolte cioè indistintamente a tutti i dipendenti, sia specialistiche nei confronti del personale collocato presso strutture a più elevato rischio di corruzione.</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Nel 2016, in particolare, si sono tenuti due corsi: il primo, a cavallo tra i mesi di settembre ed ottobre e della durata di 15 ore, concernente il nuovo codice degli appalti, rivolto ai dirigenti ed agli a</w:t>
      </w:r>
      <w:r w:rsidR="00B20C0C" w:rsidRPr="007D1DFE">
        <w:rPr>
          <w:rFonts w:ascii="Times New Roman" w:eastAsia="Times New Roman" w:hAnsi="Times New Roman" w:cs="Times New Roman"/>
          <w:sz w:val="24"/>
          <w:szCs w:val="24"/>
          <w:lang w:eastAsia="it-IT"/>
        </w:rPr>
        <w:t>l</w:t>
      </w:r>
      <w:r w:rsidRPr="007D1DFE">
        <w:rPr>
          <w:rFonts w:ascii="Times New Roman" w:eastAsia="Times New Roman" w:hAnsi="Times New Roman" w:cs="Times New Roman"/>
          <w:sz w:val="24"/>
          <w:szCs w:val="24"/>
          <w:lang w:eastAsia="it-IT"/>
        </w:rPr>
        <w:t xml:space="preserve">tri dipendenti che operano in settori “a rischio”; l’altro, tenutosi a cavallo tra il mese di ottobre e quello di novembre ed anch’esso di 15 ore, relativo alla riforma del codice della trasparenza avvenuta ad opera del d.lgs. 97/2016. </w:t>
      </w:r>
    </w:p>
    <w:p w:rsidR="00AA7ED5" w:rsidRPr="007D1DFE" w:rsidRDefault="00A4593F"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Nel 2017 </w:t>
      </w:r>
      <w:r w:rsidR="00AA7ED5" w:rsidRPr="007D1DFE">
        <w:rPr>
          <w:rFonts w:ascii="Times New Roman" w:eastAsia="Times New Roman" w:hAnsi="Times New Roman" w:cs="Times New Roman"/>
          <w:sz w:val="24"/>
          <w:szCs w:val="24"/>
          <w:lang w:eastAsia="it-IT"/>
        </w:rPr>
        <w:t>l’Amministrazione ha organizzato due corsi di formazione attinenti alle tematiche della prevenzione della corruzione:</w:t>
      </w:r>
    </w:p>
    <w:p w:rsidR="00AA7ED5" w:rsidRPr="007D1DFE" w:rsidRDefault="00AA7ED5"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il primo, concernente “Appalti e concessioni: progettazione, procedure di gara ed esecuzione del contratto; MEPA e CONSIP” </w:t>
      </w:r>
      <w:r w:rsidR="0002552A" w:rsidRPr="007D1DFE">
        <w:rPr>
          <w:rFonts w:ascii="Times New Roman" w:eastAsia="Times New Roman" w:hAnsi="Times New Roman" w:cs="Times New Roman"/>
          <w:sz w:val="24"/>
          <w:szCs w:val="24"/>
          <w:lang w:eastAsia="it-IT"/>
        </w:rPr>
        <w:t xml:space="preserve">è stato affidato a “Legislazione tecnica </w:t>
      </w:r>
      <w:proofErr w:type="spellStart"/>
      <w:r w:rsidR="0002552A" w:rsidRPr="007D1DFE">
        <w:rPr>
          <w:rFonts w:ascii="Times New Roman" w:eastAsia="Times New Roman" w:hAnsi="Times New Roman" w:cs="Times New Roman"/>
          <w:sz w:val="24"/>
          <w:szCs w:val="24"/>
          <w:lang w:eastAsia="it-IT"/>
        </w:rPr>
        <w:t>srl</w:t>
      </w:r>
      <w:proofErr w:type="spellEnd"/>
      <w:r w:rsidR="0002552A" w:rsidRPr="007D1DFE">
        <w:rPr>
          <w:rFonts w:ascii="Times New Roman" w:eastAsia="Times New Roman" w:hAnsi="Times New Roman" w:cs="Times New Roman"/>
          <w:sz w:val="24"/>
          <w:szCs w:val="24"/>
          <w:lang w:eastAsia="it-IT"/>
        </w:rPr>
        <w:t xml:space="preserve">” e </w:t>
      </w:r>
      <w:r w:rsidRPr="007D1DFE">
        <w:rPr>
          <w:rFonts w:ascii="Times New Roman" w:eastAsia="Times New Roman" w:hAnsi="Times New Roman" w:cs="Times New Roman"/>
          <w:sz w:val="24"/>
          <w:szCs w:val="24"/>
          <w:lang w:eastAsia="it-IT"/>
        </w:rPr>
        <w:t>si è tenuto in due sessioni (5 settembre-18 settembre e 26 settembre-9 ottobre) entrambe della durata di 16 ore e ha visto la partecipazione complessiv</w:t>
      </w:r>
      <w:r w:rsidR="0002552A" w:rsidRPr="007D1DFE">
        <w:rPr>
          <w:rFonts w:ascii="Times New Roman" w:eastAsia="Times New Roman" w:hAnsi="Times New Roman" w:cs="Times New Roman"/>
          <w:sz w:val="24"/>
          <w:szCs w:val="24"/>
          <w:lang w:eastAsia="it-IT"/>
        </w:rPr>
        <w:t xml:space="preserve">a di </w:t>
      </w:r>
      <w:r w:rsidRPr="007D1DFE">
        <w:rPr>
          <w:rFonts w:ascii="Times New Roman" w:eastAsia="Times New Roman" w:hAnsi="Times New Roman" w:cs="Times New Roman"/>
          <w:sz w:val="24"/>
          <w:szCs w:val="24"/>
          <w:lang w:eastAsia="it-IT"/>
        </w:rPr>
        <w:t>60 dipendenti;</w:t>
      </w:r>
    </w:p>
    <w:p w:rsidR="0002552A" w:rsidRPr="007D1DFE" w:rsidRDefault="00AA7ED5"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il secondo,</w:t>
      </w:r>
      <w:r w:rsidR="0002552A" w:rsidRPr="007D1DFE">
        <w:rPr>
          <w:rFonts w:ascii="Times New Roman" w:eastAsia="Times New Roman" w:hAnsi="Times New Roman" w:cs="Times New Roman"/>
          <w:sz w:val="24"/>
          <w:szCs w:val="24"/>
          <w:lang w:eastAsia="it-IT"/>
        </w:rPr>
        <w:t xml:space="preserve"> relativo alla “Nuova disciplina dei Contratti Pubblici”, di 16 ore</w:t>
      </w:r>
      <w:r w:rsidR="00D41610" w:rsidRPr="007D1DFE">
        <w:rPr>
          <w:rFonts w:ascii="Times New Roman" w:eastAsia="Times New Roman" w:hAnsi="Times New Roman" w:cs="Times New Roman"/>
          <w:sz w:val="24"/>
          <w:szCs w:val="24"/>
          <w:lang w:eastAsia="it-IT"/>
        </w:rPr>
        <w:t>,</w:t>
      </w:r>
      <w:r w:rsidR="0002552A" w:rsidRPr="007D1DFE">
        <w:rPr>
          <w:rFonts w:ascii="Times New Roman" w:eastAsia="Times New Roman" w:hAnsi="Times New Roman" w:cs="Times New Roman"/>
          <w:sz w:val="24"/>
          <w:szCs w:val="24"/>
          <w:lang w:eastAsia="it-IT"/>
        </w:rPr>
        <w:t xml:space="preserve"> è stato affidato alla Scuola nazionale dell’Amministrazione; iniziato il 2 ottobre</w:t>
      </w:r>
      <w:r w:rsidR="001352D3" w:rsidRPr="007D1DFE">
        <w:rPr>
          <w:rFonts w:ascii="Times New Roman" w:eastAsia="Times New Roman" w:hAnsi="Times New Roman" w:cs="Times New Roman"/>
          <w:sz w:val="24"/>
          <w:szCs w:val="24"/>
          <w:lang w:eastAsia="it-IT"/>
        </w:rPr>
        <w:t>,</w:t>
      </w:r>
      <w:r w:rsidR="0002552A" w:rsidRPr="007D1DFE">
        <w:rPr>
          <w:rFonts w:ascii="Times New Roman" w:eastAsia="Times New Roman" w:hAnsi="Times New Roman" w:cs="Times New Roman"/>
          <w:sz w:val="24"/>
          <w:szCs w:val="24"/>
          <w:lang w:eastAsia="it-IT"/>
        </w:rPr>
        <w:t xml:space="preserve"> viene attualmente proposto on line a 151 dipendenti.</w:t>
      </w:r>
    </w:p>
    <w:p w:rsidR="009458F7" w:rsidRPr="007D1DFE" w:rsidRDefault="009458F7"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ab/>
        <w:t xml:space="preserve">Con riferimento all’anno 2018 </w:t>
      </w:r>
      <w:r w:rsidR="007E3659" w:rsidRPr="007D1DFE">
        <w:rPr>
          <w:rFonts w:ascii="Times New Roman" w:eastAsia="Times New Roman" w:hAnsi="Times New Roman" w:cs="Times New Roman"/>
          <w:sz w:val="24"/>
          <w:szCs w:val="24"/>
          <w:lang w:eastAsia="it-IT"/>
        </w:rPr>
        <w:t xml:space="preserve">l’Amministrazione, oltre ai corsi di formazione organizzati dall’INPS, nell’ambito del Progetto “Valore </w:t>
      </w:r>
      <w:r w:rsidR="00A458E0" w:rsidRPr="007D1DFE">
        <w:rPr>
          <w:rFonts w:ascii="Times New Roman" w:eastAsia="Times New Roman" w:hAnsi="Times New Roman" w:cs="Times New Roman"/>
          <w:sz w:val="24"/>
          <w:szCs w:val="24"/>
          <w:lang w:eastAsia="it-IT"/>
        </w:rPr>
        <w:t>PA</w:t>
      </w:r>
      <w:r w:rsidR="007E3659" w:rsidRPr="007D1DFE">
        <w:rPr>
          <w:rFonts w:ascii="Times New Roman" w:eastAsia="Times New Roman" w:hAnsi="Times New Roman" w:cs="Times New Roman"/>
          <w:sz w:val="24"/>
          <w:szCs w:val="24"/>
          <w:lang w:eastAsia="it-IT"/>
        </w:rPr>
        <w:t xml:space="preserve"> - 2018”</w:t>
      </w:r>
      <w:r w:rsidR="0082089A" w:rsidRPr="007D1DFE">
        <w:rPr>
          <w:rFonts w:ascii="Times New Roman" w:eastAsia="Times New Roman" w:hAnsi="Times New Roman" w:cs="Times New Roman"/>
          <w:sz w:val="24"/>
          <w:szCs w:val="24"/>
          <w:lang w:eastAsia="it-IT"/>
        </w:rPr>
        <w:t xml:space="preserve"> aventi a temi anche “</w:t>
      </w:r>
      <w:proofErr w:type="spellStart"/>
      <w:r w:rsidR="0082089A" w:rsidRPr="007D1DFE">
        <w:rPr>
          <w:rFonts w:ascii="Times New Roman" w:eastAsia="Times New Roman" w:hAnsi="Times New Roman" w:cs="Times New Roman"/>
          <w:sz w:val="24"/>
          <w:szCs w:val="24"/>
          <w:lang w:eastAsia="it-IT"/>
        </w:rPr>
        <w:t>Accontability</w:t>
      </w:r>
      <w:proofErr w:type="spellEnd"/>
      <w:r w:rsidR="0082089A" w:rsidRPr="007D1DFE">
        <w:rPr>
          <w:rFonts w:ascii="Times New Roman" w:eastAsia="Times New Roman" w:hAnsi="Times New Roman" w:cs="Times New Roman"/>
          <w:sz w:val="24"/>
          <w:szCs w:val="24"/>
          <w:lang w:eastAsia="it-IT"/>
        </w:rPr>
        <w:t xml:space="preserve"> delle Pubbliche Amministrazioni Anticorruzione: strategie preventive e sistemi di </w:t>
      </w:r>
      <w:proofErr w:type="spellStart"/>
      <w:r w:rsidR="0082089A" w:rsidRPr="007D1DFE">
        <w:rPr>
          <w:rFonts w:ascii="Times New Roman" w:eastAsia="Times New Roman" w:hAnsi="Times New Roman" w:cs="Times New Roman"/>
          <w:sz w:val="24"/>
          <w:szCs w:val="24"/>
          <w:lang w:eastAsia="it-IT"/>
        </w:rPr>
        <w:t>compliance</w:t>
      </w:r>
      <w:proofErr w:type="spellEnd"/>
      <w:r w:rsidR="0082089A" w:rsidRPr="007D1DFE">
        <w:rPr>
          <w:rFonts w:ascii="Times New Roman" w:eastAsia="Times New Roman" w:hAnsi="Times New Roman" w:cs="Times New Roman"/>
          <w:sz w:val="24"/>
          <w:szCs w:val="24"/>
          <w:lang w:eastAsia="it-IT"/>
        </w:rPr>
        <w:t xml:space="preserve"> – gestione del rischio corruzione” e “Il controllo della spesa pubblica e la valutazione delle spese pubbliche; Bilancio e contabilità. Appalti e contratti pubblici” ha messo a disposizione dei dirigenti e di un primo gruppo di dipendenti individuati in base al trattamento dati effettuato un corso di formazione in </w:t>
      </w:r>
      <w:proofErr w:type="spellStart"/>
      <w:r w:rsidR="0082089A" w:rsidRPr="007D1DFE">
        <w:rPr>
          <w:rFonts w:ascii="Times New Roman" w:eastAsia="Times New Roman" w:hAnsi="Times New Roman" w:cs="Times New Roman"/>
          <w:sz w:val="24"/>
          <w:szCs w:val="24"/>
          <w:lang w:eastAsia="it-IT"/>
        </w:rPr>
        <w:t>house</w:t>
      </w:r>
      <w:proofErr w:type="spellEnd"/>
      <w:r w:rsidR="0082089A" w:rsidRPr="007D1DFE">
        <w:rPr>
          <w:rFonts w:ascii="Times New Roman" w:eastAsia="Times New Roman" w:hAnsi="Times New Roman" w:cs="Times New Roman"/>
          <w:sz w:val="24"/>
          <w:szCs w:val="24"/>
          <w:lang w:eastAsia="it-IT"/>
        </w:rPr>
        <w:t xml:space="preserve"> in materia di protezione dei dati personali, della durata di venti ore, diviso in quattro moduli da cinque ore ciascuno.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Tenuto conto che l’attività formativa svolta fino ad oggi ha posto complessivamente tutto il personale nelle condizioni di conoscere il quadro generale normativo che disciplina le materie in questione, si ritiene che </w:t>
      </w:r>
      <w:r w:rsidR="00A4593F" w:rsidRPr="007D1DFE">
        <w:rPr>
          <w:rFonts w:ascii="Times New Roman" w:eastAsia="Times New Roman" w:hAnsi="Times New Roman" w:cs="Times New Roman"/>
          <w:sz w:val="24"/>
          <w:szCs w:val="24"/>
          <w:lang w:eastAsia="it-IT"/>
        </w:rPr>
        <w:t xml:space="preserve">anche </w:t>
      </w:r>
      <w:r w:rsidRPr="007D1DFE">
        <w:rPr>
          <w:rFonts w:ascii="Times New Roman" w:eastAsia="Times New Roman" w:hAnsi="Times New Roman" w:cs="Times New Roman"/>
          <w:sz w:val="24"/>
          <w:szCs w:val="24"/>
          <w:lang w:eastAsia="it-IT"/>
        </w:rPr>
        <w:t>per l’anno 201</w:t>
      </w:r>
      <w:r w:rsidR="00A4593F" w:rsidRPr="007D1DFE">
        <w:rPr>
          <w:rFonts w:ascii="Times New Roman" w:eastAsia="Times New Roman" w:hAnsi="Times New Roman" w:cs="Times New Roman"/>
          <w:sz w:val="24"/>
          <w:szCs w:val="24"/>
          <w:lang w:eastAsia="it-IT"/>
        </w:rPr>
        <w:t>8</w:t>
      </w:r>
      <w:r w:rsidRPr="007D1DFE">
        <w:rPr>
          <w:rFonts w:ascii="Times New Roman" w:eastAsia="Times New Roman" w:hAnsi="Times New Roman" w:cs="Times New Roman"/>
          <w:sz w:val="24"/>
          <w:szCs w:val="24"/>
          <w:lang w:eastAsia="it-IT"/>
        </w:rPr>
        <w:t xml:space="preserve"> la formazione debba essere rivolta su aspetti specifici ed a carattere prettamente operativo, dei quali si avverte l’esigenza di particolari approfondimenti.</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Tali aspetti specifici sono prioritariamente individuati ne:</w:t>
      </w:r>
    </w:p>
    <w:p w:rsidR="009903C3" w:rsidRPr="007D1DFE" w:rsidRDefault="009903C3" w:rsidP="007D1DFE">
      <w:pPr>
        <w:numPr>
          <w:ilvl w:val="0"/>
          <w:numId w:val="16"/>
        </w:numPr>
        <w:spacing w:line="240" w:lineRule="auto"/>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le diverse modalità tecniche di formazione dei documenti soggetti alla pubblicazione sul sito nonché degli strumenti utilizzabili per escludere l’indicizzazione e la riutilizzazione di determinati documenti, nei casi in cui in essi siano presenti da</w:t>
      </w:r>
      <w:r w:rsidR="00A85F14" w:rsidRPr="007D1DFE">
        <w:rPr>
          <w:rFonts w:ascii="Times New Roman" w:eastAsia="Times New Roman" w:hAnsi="Times New Roman" w:cs="Times New Roman"/>
          <w:sz w:val="24"/>
          <w:szCs w:val="24"/>
          <w:lang w:eastAsia="it-IT"/>
        </w:rPr>
        <w:t>ti per i quali, sulla base della nuova normativa privacy e delle</w:t>
      </w:r>
      <w:r w:rsidRPr="007D1DFE">
        <w:rPr>
          <w:rFonts w:ascii="Times New Roman" w:eastAsia="Times New Roman" w:hAnsi="Times New Roman" w:cs="Times New Roman"/>
          <w:sz w:val="24"/>
          <w:szCs w:val="24"/>
          <w:lang w:eastAsia="it-IT"/>
        </w:rPr>
        <w:t xml:space="preserve"> indicazioni fornite nelle </w:t>
      </w:r>
      <w:r w:rsidR="0002552A" w:rsidRPr="007D1DFE">
        <w:rPr>
          <w:rFonts w:ascii="Times New Roman" w:eastAsia="Times New Roman" w:hAnsi="Times New Roman" w:cs="Times New Roman"/>
          <w:sz w:val="24"/>
          <w:szCs w:val="24"/>
          <w:lang w:eastAsia="it-IT"/>
        </w:rPr>
        <w:t>L</w:t>
      </w:r>
      <w:r w:rsidRPr="007D1DFE">
        <w:rPr>
          <w:rFonts w:ascii="Times New Roman" w:eastAsia="Times New Roman" w:hAnsi="Times New Roman" w:cs="Times New Roman"/>
          <w:sz w:val="24"/>
          <w:szCs w:val="24"/>
          <w:lang w:eastAsia="it-IT"/>
        </w:rPr>
        <w:t>i</w:t>
      </w:r>
      <w:r w:rsidR="0002552A" w:rsidRPr="007D1DFE">
        <w:rPr>
          <w:rFonts w:ascii="Times New Roman" w:eastAsia="Times New Roman" w:hAnsi="Times New Roman" w:cs="Times New Roman"/>
          <w:sz w:val="24"/>
          <w:szCs w:val="24"/>
          <w:lang w:eastAsia="it-IT"/>
        </w:rPr>
        <w:t>n</w:t>
      </w:r>
      <w:r w:rsidRPr="007D1DFE">
        <w:rPr>
          <w:rFonts w:ascii="Times New Roman" w:eastAsia="Times New Roman" w:hAnsi="Times New Roman" w:cs="Times New Roman"/>
          <w:sz w:val="24"/>
          <w:szCs w:val="24"/>
          <w:lang w:eastAsia="it-IT"/>
        </w:rPr>
        <w:t>ee guida dell’Autorità garante per la protezione dei dati personali, occorra assumere determinate iniziative per escludere la loro indiscriminata diffusione sul web;</w:t>
      </w:r>
    </w:p>
    <w:p w:rsidR="009903C3" w:rsidRPr="007D1DFE" w:rsidRDefault="009903C3" w:rsidP="007D1DFE">
      <w:pPr>
        <w:numPr>
          <w:ilvl w:val="0"/>
          <w:numId w:val="16"/>
        </w:numPr>
        <w:tabs>
          <w:tab w:val="left" w:pos="1418"/>
        </w:tabs>
        <w:spacing w:line="240" w:lineRule="auto"/>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 formazione specialistica dei funzionari </w:t>
      </w:r>
      <w:r w:rsidR="0002552A" w:rsidRPr="007D1DFE">
        <w:rPr>
          <w:rFonts w:ascii="Times New Roman" w:eastAsia="Times New Roman" w:hAnsi="Times New Roman" w:cs="Times New Roman"/>
          <w:sz w:val="24"/>
          <w:szCs w:val="24"/>
          <w:lang w:eastAsia="it-IT"/>
        </w:rPr>
        <w:t xml:space="preserve">che debbano ricoprire </w:t>
      </w:r>
      <w:r w:rsidRPr="007D1DFE">
        <w:rPr>
          <w:rFonts w:ascii="Times New Roman" w:eastAsia="Times New Roman" w:hAnsi="Times New Roman" w:cs="Times New Roman"/>
          <w:sz w:val="24"/>
          <w:szCs w:val="24"/>
          <w:lang w:eastAsia="it-IT"/>
        </w:rPr>
        <w:t>il ruolo di RUP nei procedimenti di affidamento di lavori, servizi e forniture, relativamente alla</w:t>
      </w:r>
      <w:r w:rsidRPr="007D1DFE">
        <w:rPr>
          <w:rFonts w:ascii="Times New Roman" w:hAnsi="Times New Roman" w:cs="Times New Roman"/>
          <w:sz w:val="24"/>
          <w:szCs w:val="24"/>
        </w:rPr>
        <w:t xml:space="preserve"> programmazione, progettazione, affidamento ed esecuzione di appalti pubblici</w:t>
      </w:r>
      <w:r w:rsidR="00ED2E7A" w:rsidRPr="007D1DFE">
        <w:rPr>
          <w:rFonts w:ascii="Times New Roman" w:hAnsi="Times New Roman" w:cs="Times New Roman"/>
          <w:sz w:val="24"/>
          <w:szCs w:val="24"/>
        </w:rPr>
        <w:t>.</w:t>
      </w:r>
      <w:r w:rsidRPr="007D1DFE">
        <w:rPr>
          <w:rFonts w:ascii="Times New Roman" w:hAnsi="Times New Roman" w:cs="Times New Roman"/>
          <w:sz w:val="24"/>
          <w:szCs w:val="24"/>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Eventuali altri corsi nelle materie e nei settori regolati dal presente P</w:t>
      </w:r>
      <w:r w:rsidR="00ED2E7A" w:rsidRPr="007D1DFE">
        <w:rPr>
          <w:rFonts w:ascii="Times New Roman" w:eastAsia="Times New Roman" w:hAnsi="Times New Roman" w:cs="Times New Roman"/>
          <w:sz w:val="24"/>
          <w:szCs w:val="24"/>
          <w:lang w:eastAsia="it-IT"/>
        </w:rPr>
        <w:t>TPC</w:t>
      </w:r>
      <w:r w:rsidRPr="007D1DFE">
        <w:rPr>
          <w:rFonts w:ascii="Times New Roman" w:eastAsia="Times New Roman" w:hAnsi="Times New Roman" w:cs="Times New Roman"/>
          <w:sz w:val="24"/>
          <w:szCs w:val="24"/>
          <w:lang w:eastAsia="it-IT"/>
        </w:rPr>
        <w:t xml:space="preserve"> potranno essere previsti sulla base di esigenze riscontrate dall’Amministrazione ovvero nelle ipotesi di innovazioni legislative rilevanti o di orientamenti giurisprudenziali significativi emersi, in relazione ai settori “a rischio”.</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Con successivi documenti il responsabile PC provvederà a fornire più analitiche indicazioni alla struttura competente in materia di formazione per i programmi dei corsi e per l’individuazione del personale tenuto a frequentarli.</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Al termine di ciascun corso dovranno essere somministrati questionari ai rispettivi partecipanti per riscontrare il livello di apprezzamento dell’iniziativa formativa e per ottenere utili indicazioni.  </w:t>
      </w:r>
    </w:p>
    <w:p w:rsidR="009903C3" w:rsidRPr="007D1DFE" w:rsidRDefault="009903C3" w:rsidP="007D1DFE">
      <w:pPr>
        <w:autoSpaceDE w:val="0"/>
        <w:autoSpaceDN w:val="0"/>
        <w:adjustRightInd w:val="0"/>
        <w:spacing w:line="240" w:lineRule="auto"/>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2.5.3. Obbligo di astensione in caso di conflitto di interesse.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Tale misura è inserita nel Codice di comportamento del Personale del Consiglio regionale</w:t>
      </w:r>
      <w:r w:rsidRPr="007D1DFE">
        <w:rPr>
          <w:rFonts w:ascii="Times New Roman" w:eastAsia="Times New Roman" w:hAnsi="Times New Roman" w:cs="Times New Roman"/>
          <w:sz w:val="24"/>
          <w:szCs w:val="24"/>
          <w:vertAlign w:val="superscript"/>
          <w:lang w:eastAsia="it-IT"/>
        </w:rPr>
        <w:footnoteReference w:id="33"/>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2.5.4. Rotazione del personale.  </w:t>
      </w:r>
    </w:p>
    <w:p w:rsidR="001352D3" w:rsidRPr="007D1DFE" w:rsidRDefault="001352D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 legge 190/2012</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sz w:val="24"/>
          <w:szCs w:val="24"/>
          <w:lang w:eastAsia="it-IT"/>
        </w:rPr>
        <w:t>ed il P.N.A.</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sz w:val="24"/>
          <w:szCs w:val="24"/>
          <w:lang w:eastAsia="it-IT"/>
        </w:rPr>
        <w:t>prevedono che la rotazione del personale in servizio presso le unità operative a maggior rischio costituisca una misura di carattere generale ed obbligatoria che le PP.AA. devono porre in atto, ferma restando la necessità di assicurare la continuità dell’azione amministrativa ed il coinvolgimento delle organizzazioni sindacali rappresentative.</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comma 10 dell’art. 1 della legge 190/2012 prevede alla lettera b), in particolare, che il responsabile per la prevenzione della corruzione debba verificare, relativamente agli uffici preposti allo svolgimento delle attività nel cui ambito è più elevato il rischio che siano commessi reati di corruzione, l’effettiva rotazione degli incarichi “</w:t>
      </w:r>
      <w:r w:rsidRPr="007D1DFE">
        <w:rPr>
          <w:rFonts w:ascii="Times New Roman" w:eastAsia="Times New Roman" w:hAnsi="Times New Roman" w:cs="Times New Roman"/>
          <w:i/>
          <w:sz w:val="24"/>
          <w:szCs w:val="24"/>
          <w:lang w:eastAsia="it-IT"/>
        </w:rPr>
        <w:t>d’intesa con il dirigente competente</w:t>
      </w:r>
      <w:r w:rsidRPr="007D1DFE">
        <w:rPr>
          <w:rFonts w:ascii="Times New Roman" w:eastAsia="Times New Roman" w:hAnsi="Times New Roman" w:cs="Times New Roman"/>
          <w:sz w:val="24"/>
          <w:szCs w:val="24"/>
          <w:lang w:eastAsia="it-IT"/>
        </w:rPr>
        <w:t xml:space="preserve">”.  Coerentemente con quanto riportato nel precedente paragrafo 2.4. e con le risultanze delle analisi presenti nelle schede per la rappresentazione del processo di gestione del rischio di corruzione di cui all’Allegato 4, le strutture amministrative (funzioni dirigenziali di staff, aree, uffici) di cui sopra sono individuate in quelle che esercitano competenze in materia di: acquisizione e progressione del personale; affidamento di lavori, servizi e forniture; provvedimenti ampliativi della sfera giuridica dei destinatari, con effetto economico diretto ed immediato per il destinatario. </w:t>
      </w:r>
    </w:p>
    <w:p w:rsidR="00E456EF"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r>
      <w:r w:rsidR="00E456EF" w:rsidRPr="007D1DFE">
        <w:rPr>
          <w:rFonts w:ascii="Times New Roman" w:eastAsia="Times New Roman" w:hAnsi="Times New Roman" w:cs="Times New Roman"/>
          <w:sz w:val="24"/>
          <w:szCs w:val="24"/>
          <w:lang w:eastAsia="it-IT"/>
        </w:rPr>
        <w:t xml:space="preserve">Sempre in coerenza con tali previsioni e ferma restando l’applicazione in via generale del principio della rotazione degli incarichi già dettato per i dirigenti dall’articolo 80, comma 1, del Regolamento di organizzazione del Consiglio regionale, entro </w:t>
      </w:r>
      <w:r w:rsidR="00F73F72" w:rsidRPr="007D1DFE">
        <w:rPr>
          <w:rFonts w:ascii="Times New Roman" w:eastAsia="Times New Roman" w:hAnsi="Times New Roman" w:cs="Times New Roman"/>
          <w:sz w:val="24"/>
          <w:szCs w:val="24"/>
          <w:lang w:eastAsia="it-IT"/>
        </w:rPr>
        <w:t>centoventi</w:t>
      </w:r>
      <w:r w:rsidR="00E456EF" w:rsidRPr="007D1DFE">
        <w:rPr>
          <w:rFonts w:ascii="Times New Roman" w:eastAsia="Times New Roman" w:hAnsi="Times New Roman" w:cs="Times New Roman"/>
          <w:sz w:val="24"/>
          <w:szCs w:val="24"/>
          <w:lang w:eastAsia="it-IT"/>
        </w:rPr>
        <w:t xml:space="preserve"> giorni dall’adozione del presente </w:t>
      </w:r>
      <w:r w:rsidR="00896E6B" w:rsidRPr="007D1DFE">
        <w:rPr>
          <w:rFonts w:ascii="Times New Roman" w:eastAsia="Times New Roman" w:hAnsi="Times New Roman" w:cs="Times New Roman"/>
          <w:sz w:val="24"/>
          <w:szCs w:val="24"/>
          <w:lang w:eastAsia="it-IT"/>
        </w:rPr>
        <w:t>PTPC</w:t>
      </w:r>
      <w:r w:rsidR="00E456EF" w:rsidRPr="007D1DFE">
        <w:rPr>
          <w:rFonts w:ascii="Times New Roman" w:eastAsia="Times New Roman" w:hAnsi="Times New Roman" w:cs="Times New Roman"/>
          <w:sz w:val="24"/>
          <w:szCs w:val="24"/>
          <w:lang w:eastAsia="it-IT"/>
        </w:rPr>
        <w:t xml:space="preserve">, </w:t>
      </w:r>
      <w:r w:rsidR="00E23699" w:rsidRPr="007D1DFE">
        <w:rPr>
          <w:rFonts w:ascii="Times New Roman" w:eastAsia="Times New Roman" w:hAnsi="Times New Roman" w:cs="Times New Roman"/>
          <w:sz w:val="24"/>
          <w:szCs w:val="24"/>
          <w:lang w:eastAsia="it-IT"/>
        </w:rPr>
        <w:t xml:space="preserve">previa informativa alle </w:t>
      </w:r>
      <w:r w:rsidR="00E456EF" w:rsidRPr="007D1DFE">
        <w:rPr>
          <w:rFonts w:ascii="Times New Roman" w:eastAsia="Times New Roman" w:hAnsi="Times New Roman" w:cs="Times New Roman"/>
          <w:sz w:val="24"/>
          <w:szCs w:val="24"/>
          <w:lang w:eastAsia="it-IT"/>
        </w:rPr>
        <w:t xml:space="preserve">Organizzazioni sindacali, si provvederà ad apportare le necessarie integrazioni al suddetto Regolamento, prevedendo in ogni caso la durata massima di permanenza nello stesso incarico, sia dirigenziale che di posizione organizzativa o di alta professionalità, </w:t>
      </w:r>
      <w:r w:rsidR="00E456EF" w:rsidRPr="007D1DFE">
        <w:rPr>
          <w:rFonts w:ascii="Times New Roman" w:eastAsia="Wingdings-Regular" w:hAnsi="Times New Roman" w:cs="Times New Roman"/>
          <w:sz w:val="24"/>
          <w:szCs w:val="24"/>
          <w:lang w:eastAsia="it-IT"/>
        </w:rPr>
        <w:t xml:space="preserve">avendo riguardo ai suoi contenuti sostanziali, </w:t>
      </w:r>
      <w:r w:rsidR="00E456EF" w:rsidRPr="007D1DFE">
        <w:rPr>
          <w:rFonts w:ascii="Times New Roman" w:eastAsia="Times New Roman" w:hAnsi="Times New Roman" w:cs="Times New Roman"/>
          <w:sz w:val="24"/>
          <w:szCs w:val="24"/>
          <w:lang w:eastAsia="it-IT"/>
        </w:rPr>
        <w:t>da parte di uno stesso soggetto, sulla base delle seguenti linee di indirizzo:</w:t>
      </w:r>
    </w:p>
    <w:p w:rsidR="00E456EF" w:rsidRPr="007D1DFE" w:rsidRDefault="00E456EF" w:rsidP="007D1DFE">
      <w:pPr>
        <w:pStyle w:val="Paragrafoelenco"/>
        <w:numPr>
          <w:ilvl w:val="0"/>
          <w:numId w:val="20"/>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relativamente ai settori di attività maggiormente esposti a rischio di corruzione - a) affidamenti di lavori, servizi e forniture; b) concorsi e prove selettive per l’assunzione del personale e progressioni di carriera; c) sovvenzioni, contributi finanziari e vantaggi economici, comunque denominati, a persone ed enti pubblici e privati – gli incarichi dirigenziali sono conferiti per la durata minima legale</w:t>
      </w:r>
      <w:r w:rsidR="007062EC" w:rsidRPr="007D1DFE">
        <w:rPr>
          <w:rFonts w:ascii="Times New Roman" w:eastAsia="Times New Roman" w:hAnsi="Times New Roman" w:cs="Times New Roman"/>
          <w:sz w:val="24"/>
          <w:szCs w:val="24"/>
          <w:lang w:eastAsia="it-IT"/>
        </w:rPr>
        <w:t xml:space="preserve"> e rinnovabili una sola volta</w:t>
      </w:r>
      <w:r w:rsidRPr="007D1DFE">
        <w:rPr>
          <w:rFonts w:ascii="Times New Roman" w:eastAsia="Times New Roman" w:hAnsi="Times New Roman" w:cs="Times New Roman"/>
          <w:sz w:val="24"/>
          <w:szCs w:val="24"/>
          <w:lang w:eastAsia="it-IT"/>
        </w:rPr>
        <w:t xml:space="preserve">. </w:t>
      </w:r>
      <w:r w:rsidR="007062EC" w:rsidRPr="007D1DFE">
        <w:rPr>
          <w:rFonts w:ascii="Times New Roman" w:eastAsia="Times New Roman" w:hAnsi="Times New Roman" w:cs="Times New Roman"/>
          <w:sz w:val="24"/>
          <w:szCs w:val="24"/>
          <w:lang w:eastAsia="it-IT"/>
        </w:rPr>
        <w:t>Salvo casi particolari</w:t>
      </w:r>
      <w:r w:rsidRPr="007D1DFE">
        <w:rPr>
          <w:rFonts w:ascii="Times New Roman" w:eastAsia="Times New Roman" w:hAnsi="Times New Roman" w:cs="Times New Roman"/>
          <w:sz w:val="24"/>
          <w:szCs w:val="24"/>
          <w:lang w:eastAsia="it-IT"/>
        </w:rPr>
        <w:t>,</w:t>
      </w:r>
      <w:r w:rsidR="007062EC" w:rsidRPr="007D1DFE">
        <w:rPr>
          <w:rFonts w:ascii="Times New Roman" w:eastAsia="Times New Roman" w:hAnsi="Times New Roman" w:cs="Times New Roman"/>
          <w:sz w:val="24"/>
          <w:szCs w:val="24"/>
          <w:lang w:eastAsia="it-IT"/>
        </w:rPr>
        <w:t xml:space="preserve"> adeguatamente motivati,</w:t>
      </w:r>
      <w:r w:rsidRPr="007D1DFE">
        <w:rPr>
          <w:rFonts w:ascii="Times New Roman" w:eastAsia="Times New Roman" w:hAnsi="Times New Roman" w:cs="Times New Roman"/>
          <w:sz w:val="24"/>
          <w:szCs w:val="24"/>
          <w:lang w:eastAsia="it-IT"/>
        </w:rPr>
        <w:t xml:space="preserve"> la permanenza di un dirigente nello stesso incarico, avendo riguardo ai suoi contenuti sostanziali, non può eccedere </w:t>
      </w:r>
      <w:r w:rsidR="007062EC" w:rsidRPr="007D1DFE">
        <w:rPr>
          <w:rFonts w:ascii="Times New Roman" w:eastAsia="Times New Roman" w:hAnsi="Times New Roman" w:cs="Times New Roman"/>
          <w:sz w:val="24"/>
          <w:szCs w:val="24"/>
          <w:lang w:eastAsia="it-IT"/>
        </w:rPr>
        <w:t>sei</w:t>
      </w:r>
      <w:r w:rsidRPr="007D1DFE">
        <w:rPr>
          <w:rFonts w:ascii="Times New Roman" w:eastAsia="Times New Roman" w:hAnsi="Times New Roman" w:cs="Times New Roman"/>
          <w:sz w:val="24"/>
          <w:szCs w:val="24"/>
          <w:lang w:eastAsia="it-IT"/>
        </w:rPr>
        <w:t xml:space="preserve"> anni;</w:t>
      </w:r>
    </w:p>
    <w:p w:rsidR="00E456EF" w:rsidRPr="007D1DFE" w:rsidRDefault="00E456EF" w:rsidP="007D1DFE">
      <w:pPr>
        <w:pStyle w:val="Paragrafoelenco"/>
        <w:numPr>
          <w:ilvl w:val="0"/>
          <w:numId w:val="20"/>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ugualmente, i titolari di posizione organizzativa o di alta professionalità che operano nei suddetti settori considerati a maggior rischio non potranno ricoprire lo stesso incarico,</w:t>
      </w:r>
      <w:r w:rsidRPr="007D1DFE">
        <w:t xml:space="preserve"> </w:t>
      </w:r>
      <w:r w:rsidRPr="007D1DFE">
        <w:rPr>
          <w:rFonts w:ascii="Times New Roman" w:eastAsia="Times New Roman" w:hAnsi="Times New Roman" w:cs="Times New Roman"/>
          <w:sz w:val="24"/>
          <w:szCs w:val="24"/>
          <w:lang w:eastAsia="it-IT"/>
        </w:rPr>
        <w:t xml:space="preserve">avendo riguardo ai suoi contenuti sostanziali, per più di </w:t>
      </w:r>
      <w:r w:rsidR="00D014B5" w:rsidRPr="007D1DFE">
        <w:rPr>
          <w:rFonts w:ascii="Times New Roman" w:eastAsia="Times New Roman" w:hAnsi="Times New Roman" w:cs="Times New Roman"/>
          <w:sz w:val="24"/>
          <w:szCs w:val="24"/>
          <w:lang w:eastAsia="it-IT"/>
        </w:rPr>
        <w:t>sei</w:t>
      </w:r>
      <w:r w:rsidRPr="007D1DFE">
        <w:rPr>
          <w:rFonts w:ascii="Times New Roman" w:eastAsia="Times New Roman" w:hAnsi="Times New Roman" w:cs="Times New Roman"/>
          <w:sz w:val="24"/>
          <w:szCs w:val="24"/>
          <w:lang w:eastAsia="it-IT"/>
        </w:rPr>
        <w:t xml:space="preserve"> anni;</w:t>
      </w:r>
    </w:p>
    <w:p w:rsidR="00E456EF" w:rsidRPr="007D1DFE" w:rsidRDefault="00E456EF" w:rsidP="007D1DFE">
      <w:pPr>
        <w:pStyle w:val="Paragrafoelenco"/>
        <w:numPr>
          <w:ilvl w:val="0"/>
          <w:numId w:val="20"/>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per consentire il raggiungimento di un adeguato livello di professionalità da parte del dirigente destinato a sostituire quello in scadenza di incarico, l’Amministrazione provvede di norma a nominare il dirigente destinato a succedere a quello in scadenza almeno trenta giorni prima della scadenza medesima. L’efficacia del provvedimento di nomina è differita al giorno successivo alla suddetta scadenza. Durante il periodo di tempo che intercorre tra il provvedimento di nomina e la sua efficacia, il dirigente in scadenza di contratto è tenuto a coinvolgere nell’ordinaria attività amministrativa il dirigente destinato a succedergli, ferma restando l’esclusiva responsabilità del primo in ordine all’attività e gestione;</w:t>
      </w:r>
    </w:p>
    <w:p w:rsidR="00E456EF" w:rsidRPr="007D1DFE" w:rsidRDefault="00E456EF" w:rsidP="007D1DFE">
      <w:pPr>
        <w:pStyle w:val="Paragrafoelenco"/>
        <w:numPr>
          <w:ilvl w:val="0"/>
          <w:numId w:val="20"/>
        </w:numPr>
        <w:spacing w:line="240" w:lineRule="auto"/>
        <w:jc w:val="both"/>
        <w:rPr>
          <w:rFonts w:ascii="Times New Roman" w:eastAsia="Wingdings-Regular"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l’attuazione </w:t>
      </w:r>
      <w:r w:rsidRPr="007D1DFE">
        <w:rPr>
          <w:rFonts w:ascii="Times New Roman" w:eastAsia="Wingdings-Regular" w:hAnsi="Times New Roman" w:cs="Times New Roman"/>
          <w:sz w:val="24"/>
          <w:szCs w:val="24"/>
          <w:lang w:eastAsia="it-IT"/>
        </w:rPr>
        <w:t>dei processi di mobilità interna dovrà tener conto delle specifiche professionalità dei soggetti interessati;</w:t>
      </w:r>
    </w:p>
    <w:p w:rsidR="009903C3" w:rsidRPr="007D1DFE" w:rsidRDefault="00E456EF" w:rsidP="007D1DFE">
      <w:pPr>
        <w:pStyle w:val="Paragrafoelenco"/>
        <w:numPr>
          <w:ilvl w:val="0"/>
          <w:numId w:val="20"/>
        </w:numPr>
        <w:spacing w:line="240" w:lineRule="auto"/>
        <w:jc w:val="both"/>
        <w:rPr>
          <w:rFonts w:ascii="Times New Roman" w:eastAsia="Wingdings-Regular" w:hAnsi="Times New Roman" w:cs="Times New Roman"/>
          <w:sz w:val="24"/>
          <w:szCs w:val="24"/>
          <w:lang w:eastAsia="it-IT"/>
        </w:rPr>
      </w:pPr>
      <w:r w:rsidRPr="007D1DFE">
        <w:rPr>
          <w:rFonts w:ascii="Times New Roman" w:eastAsia="Wingdings-Regular" w:hAnsi="Times New Roman" w:cs="Times New Roman"/>
          <w:sz w:val="24"/>
          <w:szCs w:val="24"/>
          <w:lang w:eastAsia="it-IT"/>
        </w:rPr>
        <w:t xml:space="preserve">la nuova disciplina regolamentare dovrà prevedere idonee misure di formazione o di aggiornamento professionale nei loro confronti. </w:t>
      </w:r>
      <w:r w:rsidR="009903C3" w:rsidRPr="007D1DFE">
        <w:rPr>
          <w:rFonts w:ascii="Times New Roman" w:eastAsia="Wingdings-Regular" w:hAnsi="Times New Roman" w:cs="Times New Roman"/>
          <w:sz w:val="24"/>
          <w:szCs w:val="24"/>
          <w:lang w:eastAsia="it-IT"/>
        </w:rPr>
        <w:tab/>
        <w:t xml:space="preserve"> </w:t>
      </w:r>
    </w:p>
    <w:p w:rsidR="009903C3" w:rsidRPr="007D1DFE" w:rsidRDefault="009903C3" w:rsidP="007D1DFE">
      <w:pPr>
        <w:spacing w:line="240" w:lineRule="auto"/>
        <w:jc w:val="both"/>
        <w:rPr>
          <w:rFonts w:ascii="Times New Roman" w:eastAsia="Wingdings-Regular" w:hAnsi="Times New Roman" w:cs="Times New Roman"/>
          <w:sz w:val="24"/>
          <w:szCs w:val="24"/>
          <w:lang w:eastAsia="it-IT"/>
        </w:rPr>
      </w:pPr>
      <w:r w:rsidRPr="007D1DFE">
        <w:rPr>
          <w:rFonts w:ascii="Times New Roman" w:eastAsia="Wingdings-Regular" w:hAnsi="Times New Roman" w:cs="Times New Roman"/>
          <w:sz w:val="24"/>
          <w:szCs w:val="24"/>
          <w:lang w:eastAsia="it-IT"/>
        </w:rPr>
        <w:tab/>
        <w:t xml:space="preserve">Nei casi di avvio, nell’ambito di un ufficio, di procedimenti penali o disciplinari per condotte di natura corruttiva, l’Amministrazione provvederà comunque, in via prudenziale, ad una rotazione di carattere straordinario del personale interessato </w:t>
      </w:r>
      <w:r w:rsidRPr="007D1DFE">
        <w:rPr>
          <w:rFonts w:ascii="Times New Roman" w:eastAsia="Wingdings-Regular" w:hAnsi="Times New Roman" w:cs="Times New Roman"/>
          <w:sz w:val="24"/>
          <w:szCs w:val="24"/>
          <w:vertAlign w:val="superscript"/>
          <w:lang w:eastAsia="it-IT"/>
        </w:rPr>
        <w:footnoteReference w:id="34"/>
      </w:r>
      <w:r w:rsidRPr="007D1DFE">
        <w:rPr>
          <w:rFonts w:ascii="Times New Roman" w:eastAsia="Wingdings-Regular" w:hAnsi="Times New Roman" w:cs="Times New Roman"/>
          <w:sz w:val="24"/>
          <w:szCs w:val="24"/>
          <w:lang w:eastAsia="it-IT"/>
        </w:rPr>
        <w:t xml:space="preserve">.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u w:val="single"/>
          <w:lang w:eastAsia="it-IT"/>
        </w:rPr>
      </w:pPr>
      <w:r w:rsidRPr="007D1DFE">
        <w:rPr>
          <w:rFonts w:ascii="Times New Roman" w:eastAsia="Times New Roman" w:hAnsi="Times New Roman" w:cs="Times New Roman"/>
          <w:sz w:val="24"/>
          <w:szCs w:val="24"/>
          <w:lang w:eastAsia="it-IT"/>
        </w:rPr>
        <w:tab/>
      </w:r>
    </w:p>
    <w:p w:rsidR="009903C3" w:rsidRPr="007D1DFE" w:rsidRDefault="009903C3" w:rsidP="007D1DFE">
      <w:pPr>
        <w:autoSpaceDE w:val="0"/>
        <w:autoSpaceDN w:val="0"/>
        <w:adjustRightInd w:val="0"/>
        <w:spacing w:line="240" w:lineRule="auto"/>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2.5.5. Incarichi vietati ai dipendenti.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 materia è oggetto di disciplina, in particolare, da parte dell’art. 53 del d.lgs. 165/2001 e ss.mm., nonché delle disposizioni di cui al Titolo VIII, Capo VII, del Regolamento di organizzazione del Consiglio regionale, che qui si intendono integralmente richiamati.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La struttura amministrativa competente in materia di gestione del personale, qualora ravvisi l’esigenza di apportare modifiche o integrazioni al Regolamento di organizzazione, è tenuta a segnalarla al Segretario generale per i successivi adempimenti.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9"/>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2.5.6. Inconferibilità ed incompatibilità di incarichi.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Ai sensi dell’art. 15 del decreto legislativo 39/2013,</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sz w:val="24"/>
          <w:szCs w:val="24"/>
          <w:lang w:eastAsia="it-IT"/>
        </w:rPr>
        <w:t xml:space="preserve">il responsabile dell’anticorruzione è tenuto a vigilare che siano rispettate le disposizioni del medesimo decreto relative alla inconferibilità ed alla incompatibilità degli incarichi.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Le dichiarazioni rese dagli interessati ex d.P.R. 445/2000 dovranno essere acquisite dalla struttura competente in ordine al procedimento di nomina o di affidamento di incarico, la quale provvederà, nella fase istruttoria, alla verifica della completezza ed al controllo delle dichiarazioni ricevute e, una volta effettuati i dovuti riscontri, a trasmetterle, unitamente ad una dichiarazione di regolarità della procedura che contenga anche l’esito delle verifiche effettuate, al Responsabile per la prevenzione della corruzione, di modo che possa esercitare le funzioni di vigilanza che gli competono.</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provvedimento di nomina o quello di conferimento dell’incarico dovrà dare puntuale indicazione</w:t>
      </w:r>
      <w:r w:rsidRPr="007D1DFE">
        <w:rPr>
          <w:rFonts w:ascii="Times New Roman" w:eastAsia="Times New Roman" w:hAnsi="Times New Roman" w:cs="Times New Roman"/>
          <w:sz w:val="24"/>
          <w:szCs w:val="24"/>
          <w:u w:val="single"/>
          <w:lang w:eastAsia="it-IT"/>
        </w:rPr>
        <w:t>,</w:t>
      </w:r>
      <w:r w:rsidRPr="007D1DFE">
        <w:rPr>
          <w:rFonts w:ascii="Times New Roman" w:eastAsia="Times New Roman" w:hAnsi="Times New Roman" w:cs="Times New Roman"/>
          <w:sz w:val="24"/>
          <w:szCs w:val="24"/>
          <w:lang w:eastAsia="it-IT"/>
        </w:rPr>
        <w:t xml:space="preserve"> nelle premesse del provvedimento, dell’attività di verifica svolta dalla suddetta struttura competente per il procedimento. Ove ricorrano i presupposti, il responsabile della prevenzione della corruzione dovrà contestare all'interessato l'esistenza o l'insorgere delle situazioni di inconferibilità o di incompatibilità. Il Responsabile è tenuto quindi a segnalare i casi di possibile violazione della normativa in questione “</w:t>
      </w:r>
      <w:r w:rsidRPr="007D1DFE">
        <w:rPr>
          <w:rFonts w:ascii="Times New Roman" w:eastAsia="Times New Roman" w:hAnsi="Times New Roman" w:cs="Times New Roman"/>
          <w:i/>
          <w:sz w:val="24"/>
          <w:szCs w:val="24"/>
          <w:lang w:eastAsia="it-IT"/>
        </w:rPr>
        <w:t>all'Autorità nazionale anticorruzione, all'Autorità garante della concorrenza e del mercato ai fini dell'esercizio delle funzioni di cui alla legge 20 luglio 2004, n. 215, nonché alla Corte dei conti, per l'accertamento di eventuali responsabilità amministrative</w:t>
      </w:r>
      <w:r w:rsidRPr="007D1DFE">
        <w:rPr>
          <w:rFonts w:ascii="Times New Roman" w:eastAsia="Times New Roman" w:hAnsi="Times New Roman" w:cs="Times New Roman"/>
          <w:sz w:val="24"/>
          <w:szCs w:val="24"/>
          <w:lang w:eastAsia="it-IT"/>
        </w:rPr>
        <w:t>.”.</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u w:val="single"/>
          <w:lang w:eastAsia="it-IT"/>
        </w:rPr>
      </w:pPr>
      <w:r w:rsidRPr="007D1DFE">
        <w:rPr>
          <w:rFonts w:ascii="Times New Roman" w:eastAsia="Times New Roman" w:hAnsi="Times New Roman" w:cs="Times New Roman"/>
          <w:sz w:val="24"/>
          <w:szCs w:val="24"/>
          <w:lang w:eastAsia="it-IT"/>
        </w:rPr>
        <w:lastRenderedPageBreak/>
        <w:tab/>
        <w:t>Al fine di semplificare le procedure relative alle dichiarazioni annuali sull’insussistenza di cause di incompatibilità previste dall’articolo 20, comma 2, del d.lgs. 39/2013, ciascuna struttura che ha conferito l’incarico dovrà provvedere a richiedere agli interessati, entro il mese di febbraio, la dichiarazione che dovrà essere rilasciata entro quindici giorni dalla suddetta richiesta. Qualora successivamente al conferimento dell’incarico si verifichi una causa di incompatibilità, l’interessato è tenuto a darne comunicazione al responsabile per la prevenzione della corruzione entro e non oltre cinque giorni dall’insorgere dell’incompatibilità medesima. La segnalazione di detto adempimento è inserita, a cura della struttura che conferisce l’incarico, nel relativo provvedimento e nel contratto</w:t>
      </w:r>
      <w:r w:rsidRPr="007D1DFE">
        <w:rPr>
          <w:rFonts w:ascii="Times New Roman" w:eastAsia="Times New Roman" w:hAnsi="Times New Roman" w:cs="Times New Roman"/>
          <w:sz w:val="24"/>
          <w:szCs w:val="24"/>
          <w:u w:val="single"/>
          <w:lang w:eastAsia="it-IT"/>
        </w:rPr>
        <w:t>.</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Sia le dichiarazioni sulla insussistenza di cause di inconferibilità rese in funzione del conferimento dell’incarico sia quelle annuali sull’insussistenza di cause di incompatibilità sono pubblicate non oltre venti giorni dalla loro acquisizione, a cura della struttura competente in ordine al procedimento, sul sito del Consiglio regionale, sezione Amministrazione Trasparente. Dell’avvenuta pubblicazione è data notizia al Responsabile della prevenzione della corruzione nel primo report periodico utile.</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Per ultimo, si rinvia a quanto previsto sull’argomento dalla Determinazione </w:t>
      </w:r>
      <w:proofErr w:type="spellStart"/>
      <w:r w:rsidRPr="007D1DFE">
        <w:rPr>
          <w:rFonts w:ascii="Times New Roman" w:eastAsia="Times New Roman" w:hAnsi="Times New Roman" w:cs="Times New Roman"/>
          <w:sz w:val="24"/>
          <w:szCs w:val="24"/>
          <w:lang w:eastAsia="it-IT"/>
        </w:rPr>
        <w:t>Anac</w:t>
      </w:r>
      <w:proofErr w:type="spellEnd"/>
      <w:r w:rsidRPr="007D1DFE">
        <w:rPr>
          <w:rFonts w:ascii="Times New Roman" w:eastAsia="Times New Roman" w:hAnsi="Times New Roman" w:cs="Times New Roman"/>
          <w:sz w:val="24"/>
          <w:szCs w:val="24"/>
          <w:lang w:eastAsia="it-IT"/>
        </w:rPr>
        <w:t xml:space="preserve"> n. 833 del 3 agosto 2016, concernente “</w:t>
      </w:r>
      <w:r w:rsidRPr="007D1DFE">
        <w:rPr>
          <w:rFonts w:ascii="Times New Roman" w:eastAsia="Times New Roman" w:hAnsi="Times New Roman" w:cs="Times New Roman"/>
          <w:i/>
          <w:sz w:val="24"/>
          <w:szCs w:val="24"/>
          <w:lang w:eastAsia="it-IT"/>
        </w:rPr>
        <w:t xml:space="preserve">Linee guida in materia di accertamento delle inconferibilità e delle incompatibilità degli incarichi amministrativi da parte del responsabile della prevenzione della corruzione. Attività di vigilanza e poteri di accertamento dell’A.N.AC. in caso di incarichi </w:t>
      </w:r>
      <w:proofErr w:type="spellStart"/>
      <w:r w:rsidRPr="007D1DFE">
        <w:rPr>
          <w:rFonts w:ascii="Times New Roman" w:eastAsia="Times New Roman" w:hAnsi="Times New Roman" w:cs="Times New Roman"/>
          <w:i/>
          <w:sz w:val="24"/>
          <w:szCs w:val="24"/>
          <w:lang w:eastAsia="it-IT"/>
        </w:rPr>
        <w:t>inconferibili</w:t>
      </w:r>
      <w:proofErr w:type="spellEnd"/>
      <w:r w:rsidRPr="007D1DFE">
        <w:rPr>
          <w:rFonts w:ascii="Times New Roman" w:eastAsia="Times New Roman" w:hAnsi="Times New Roman" w:cs="Times New Roman"/>
          <w:i/>
          <w:sz w:val="24"/>
          <w:szCs w:val="24"/>
          <w:lang w:eastAsia="it-IT"/>
        </w:rPr>
        <w:t xml:space="preserve"> e incompatibili</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lang w:eastAsia="it-IT"/>
        </w:rPr>
      </w:pP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 xml:space="preserve">2.5.7. Inconferibilità ed incompatibilità per nomine o atti elettivi di competenza del Consiglio.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b/>
          <w:bCs/>
          <w:sz w:val="24"/>
          <w:szCs w:val="24"/>
          <w:lang w:eastAsia="it-IT"/>
        </w:rPr>
      </w:pP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Ai sensi dell’art. 7, c. 2. del d.lgs. 31 dicembre 2012, n. 235 (</w:t>
      </w:r>
      <w:r w:rsidRPr="007D1DFE">
        <w:rPr>
          <w:rFonts w:ascii="Times New Roman" w:eastAsia="Times New Roman" w:hAnsi="Times New Roman" w:cs="Times New Roman"/>
          <w:i/>
          <w:sz w:val="24"/>
          <w:szCs w:val="24"/>
          <w:lang w:eastAsia="it-IT"/>
        </w:rPr>
        <w:t>Testo unico delle disposizioni in materia di incandidabilità e di divieto di ricoprire cariche elettive e di Governo conseguenti a sentenze definitive di condanna per delitti non colposi, a norma dell'art. 1, comma</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i/>
          <w:sz w:val="24"/>
          <w:szCs w:val="24"/>
          <w:lang w:eastAsia="it-IT"/>
        </w:rPr>
        <w:t>63, della legge 6 novembre 2012, n. 190</w:t>
      </w:r>
      <w:r w:rsidRPr="007D1DFE">
        <w:rPr>
          <w:rFonts w:ascii="Times New Roman" w:eastAsia="Times New Roman" w:hAnsi="Times New Roman" w:cs="Times New Roman"/>
          <w:sz w:val="24"/>
          <w:szCs w:val="24"/>
          <w:lang w:eastAsia="it-IT"/>
        </w:rPr>
        <w:t xml:space="preserve">), non possono ricoprire alcun incarico che consegua alla nomina o all’elezione da parte del Consiglio regionale coloro i quali si trovino nelle condizioni previste al comma 1 dello stesso articolo 7  </w:t>
      </w:r>
      <w:r w:rsidRPr="007D1DFE">
        <w:rPr>
          <w:rFonts w:ascii="Times New Roman" w:eastAsia="Times New Roman" w:hAnsi="Times New Roman" w:cs="Times New Roman"/>
          <w:sz w:val="24"/>
          <w:szCs w:val="24"/>
          <w:vertAlign w:val="superscript"/>
          <w:lang w:eastAsia="it-IT"/>
        </w:rPr>
        <w:footnoteReference w:id="35"/>
      </w:r>
      <w:r w:rsidRPr="007D1DFE">
        <w:rPr>
          <w:rFonts w:ascii="Times New Roman" w:eastAsia="Times New Roman" w:hAnsi="Times New Roman" w:cs="Times New Roman"/>
          <w:sz w:val="24"/>
          <w:szCs w:val="24"/>
          <w:lang w:eastAsia="it-IT"/>
        </w:rPr>
        <w:t>. L’eventuale atto di nomina o di elezione è nullo (c. 3 dello stesso articolo.</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 xml:space="preserve">Le nomine di competenza del Consiglio regionale sono effettuate anche nel rispetto delle condizioni di inconferibilità e incompatibilità degli incarichi disposte dal d.lgs. n. 39/2013 e da eventuali specifiche altre disposizioni normative. </w:t>
      </w:r>
    </w:p>
    <w:p w:rsidR="009903C3" w:rsidRPr="007D1DFE" w:rsidRDefault="007C03D0"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 Segreteria generale</w:t>
      </w:r>
      <w:r w:rsidR="00250257" w:rsidRPr="007D1DFE">
        <w:rPr>
          <w:rFonts w:ascii="Times New Roman" w:eastAsia="Times New Roman" w:hAnsi="Times New Roman" w:cs="Times New Roman"/>
          <w:sz w:val="24"/>
          <w:szCs w:val="24"/>
          <w:lang w:eastAsia="it-IT"/>
        </w:rPr>
        <w:t xml:space="preserve"> </w:t>
      </w:r>
      <w:r w:rsidR="009903C3" w:rsidRPr="007D1DFE">
        <w:rPr>
          <w:rFonts w:ascii="Times New Roman" w:eastAsia="Times New Roman" w:hAnsi="Times New Roman" w:cs="Times New Roman"/>
          <w:sz w:val="24"/>
          <w:szCs w:val="24"/>
          <w:lang w:eastAsia="it-IT"/>
        </w:rPr>
        <w:t xml:space="preserve">predispone i moduli per la dichiarazione ex </w:t>
      </w:r>
      <w:proofErr w:type="spellStart"/>
      <w:r w:rsidR="009903C3" w:rsidRPr="007D1DFE">
        <w:rPr>
          <w:rFonts w:ascii="Times New Roman" w:eastAsia="Times New Roman" w:hAnsi="Times New Roman" w:cs="Times New Roman"/>
          <w:sz w:val="24"/>
          <w:szCs w:val="24"/>
          <w:lang w:eastAsia="it-IT"/>
        </w:rPr>
        <w:t>dpr</w:t>
      </w:r>
      <w:proofErr w:type="spellEnd"/>
      <w:r w:rsidR="009903C3" w:rsidRPr="007D1DFE">
        <w:rPr>
          <w:rFonts w:ascii="Times New Roman" w:eastAsia="Times New Roman" w:hAnsi="Times New Roman" w:cs="Times New Roman"/>
          <w:sz w:val="24"/>
          <w:szCs w:val="24"/>
          <w:lang w:eastAsia="it-IT"/>
        </w:rPr>
        <w:t xml:space="preserve"> 445/2000 dell’insussistenza di cause di inconferibilità e incompatibilità, accerta che siano debitamente compilati da parte dei soggetti interessati ed effettua i controlli di cui all’articolo 71 dello stesso decreto presidenziale, dando comunicazione del loro esito al Responsabile per la </w:t>
      </w:r>
      <w:r w:rsidR="00C011E6">
        <w:rPr>
          <w:rFonts w:ascii="Times New Roman" w:eastAsia="Times New Roman" w:hAnsi="Times New Roman" w:cs="Times New Roman"/>
          <w:sz w:val="24"/>
          <w:szCs w:val="24"/>
          <w:lang w:eastAsia="it-IT"/>
        </w:rPr>
        <w:t>prevenzione della corruzione. La stessa struttura</w:t>
      </w:r>
      <w:r w:rsidR="009903C3" w:rsidRPr="007D1DFE">
        <w:rPr>
          <w:rFonts w:ascii="Times New Roman" w:eastAsia="Times New Roman" w:hAnsi="Times New Roman" w:cs="Times New Roman"/>
          <w:sz w:val="24"/>
          <w:szCs w:val="24"/>
          <w:lang w:eastAsia="it-IT"/>
        </w:rPr>
        <w:t xml:space="preserve"> cura la pubblicazione del provvedimento di nomina o elettivo nella sezione Amministrazione Trasparente del sito istituzionale del Consiglio regionale non oltre venti</w:t>
      </w:r>
      <w:r w:rsidR="009903C3" w:rsidRPr="007D1DFE">
        <w:rPr>
          <w:rFonts w:ascii="Times New Roman" w:eastAsia="Times New Roman" w:hAnsi="Times New Roman" w:cs="Times New Roman"/>
          <w:b/>
          <w:sz w:val="24"/>
          <w:szCs w:val="24"/>
          <w:lang w:eastAsia="it-IT"/>
        </w:rPr>
        <w:t xml:space="preserve"> </w:t>
      </w:r>
      <w:r w:rsidR="009903C3" w:rsidRPr="007D1DFE">
        <w:rPr>
          <w:rFonts w:ascii="Times New Roman" w:eastAsia="Times New Roman" w:hAnsi="Times New Roman" w:cs="Times New Roman"/>
          <w:sz w:val="24"/>
          <w:szCs w:val="24"/>
          <w:lang w:eastAsia="it-IT"/>
        </w:rPr>
        <w:t>giorni dalla nomina o elezione</w:t>
      </w:r>
      <w:r w:rsidR="009903C3" w:rsidRPr="007D1DFE">
        <w:rPr>
          <w:rFonts w:ascii="Times New Roman" w:eastAsia="Times New Roman" w:hAnsi="Times New Roman" w:cs="Times New Roman"/>
          <w:b/>
          <w:sz w:val="24"/>
          <w:szCs w:val="24"/>
          <w:lang w:eastAsia="it-IT"/>
        </w:rPr>
        <w:t xml:space="preserve">; </w:t>
      </w:r>
      <w:r w:rsidR="009903C3" w:rsidRPr="007D1DFE">
        <w:rPr>
          <w:rFonts w:ascii="Times New Roman" w:eastAsia="Times New Roman" w:hAnsi="Times New Roman" w:cs="Times New Roman"/>
          <w:sz w:val="24"/>
          <w:szCs w:val="24"/>
          <w:lang w:eastAsia="it-IT"/>
        </w:rPr>
        <w:t xml:space="preserve">provvede poi annualmente, entro il mese di febbraio, a richiedere agli interessati la dichiarazione di insussistenza di cause di incompatibilità al mantenimento della carica, che dovrà essere rilasciata entro quindici giorni dalla suddetta richiesta. Qualora successivamente all’assunzione della carica si realizzi una causa di incompatibilità, l’interessato è tenuto a darne comunicazione al Responsabile per la prevenzione della corruzione entro e non oltre cinque giorni dall’insorgere dell’incompatibilità medesima.  </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Relativamente alle nomine dei componenti del Collegio dei revisori dei conti di cui al Capo II della </w:t>
      </w:r>
      <w:proofErr w:type="spellStart"/>
      <w:r w:rsidRPr="007D1DFE">
        <w:rPr>
          <w:rFonts w:ascii="Times New Roman" w:eastAsia="Times New Roman" w:hAnsi="Times New Roman" w:cs="Times New Roman"/>
          <w:sz w:val="24"/>
          <w:szCs w:val="24"/>
          <w:lang w:eastAsia="it-IT"/>
        </w:rPr>
        <w:t>l.r</w:t>
      </w:r>
      <w:proofErr w:type="spellEnd"/>
      <w:r w:rsidRPr="007D1DFE">
        <w:rPr>
          <w:rFonts w:ascii="Times New Roman" w:eastAsia="Times New Roman" w:hAnsi="Times New Roman" w:cs="Times New Roman"/>
          <w:sz w:val="24"/>
          <w:szCs w:val="24"/>
          <w:lang w:eastAsia="it-IT"/>
        </w:rPr>
        <w:t xml:space="preserve">. 4/2013, trovano specifica applicazione le disposizioni di cui alla deliberazione dell’Ufficio di presidenza 30 luglio 2013, n. 52 </w:t>
      </w:r>
      <w:r w:rsidRPr="007D1DFE">
        <w:rPr>
          <w:rFonts w:ascii="Times New Roman" w:eastAsia="Times New Roman" w:hAnsi="Times New Roman" w:cs="Times New Roman"/>
          <w:sz w:val="24"/>
          <w:szCs w:val="24"/>
          <w:vertAlign w:val="superscript"/>
          <w:lang w:eastAsia="it-IT"/>
        </w:rPr>
        <w:footnoteReference w:id="36"/>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u w:val="single"/>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2.5.8. Svolgimento di attività successive alla cessazione del rapporto di lavoro (</w:t>
      </w:r>
      <w:proofErr w:type="spellStart"/>
      <w:r w:rsidRPr="007D1DFE">
        <w:rPr>
          <w:rFonts w:ascii="Times New Roman" w:eastAsia="Times New Roman" w:hAnsi="Times New Roman" w:cs="Times New Roman"/>
          <w:b/>
          <w:sz w:val="24"/>
          <w:szCs w:val="24"/>
          <w:lang w:eastAsia="it-IT"/>
        </w:rPr>
        <w:t>P</w:t>
      </w:r>
      <w:r w:rsidRPr="007D1DFE">
        <w:rPr>
          <w:rFonts w:ascii="BookmanOldStyle-Italic" w:eastAsia="Times New Roman" w:hAnsi="BookmanOldStyle-Italic" w:cs="BookmanOldStyle-Italic"/>
          <w:b/>
          <w:iCs/>
          <w:sz w:val="24"/>
          <w:szCs w:val="24"/>
          <w:lang w:eastAsia="it-IT"/>
        </w:rPr>
        <w:t>antouflage</w:t>
      </w:r>
      <w:proofErr w:type="spellEnd"/>
      <w:r w:rsidRPr="007D1DFE">
        <w:rPr>
          <w:rFonts w:ascii="BookmanOldStyle-Italic" w:eastAsia="Times New Roman" w:hAnsi="BookmanOldStyle-Italic" w:cs="BookmanOldStyle-Italic"/>
          <w:iCs/>
          <w:sz w:val="24"/>
          <w:szCs w:val="24"/>
          <w:lang w:eastAsia="it-IT"/>
        </w:rPr>
        <w:t>).</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Il comma 16-ter </w:t>
      </w:r>
      <w:r w:rsidRPr="007D1DFE">
        <w:rPr>
          <w:rFonts w:ascii="Times New Roman" w:eastAsia="Times New Roman" w:hAnsi="Times New Roman" w:cs="Times New Roman"/>
          <w:sz w:val="24"/>
          <w:szCs w:val="24"/>
          <w:vertAlign w:val="superscript"/>
          <w:lang w:eastAsia="it-IT"/>
        </w:rPr>
        <w:footnoteReference w:id="37"/>
      </w:r>
      <w:r w:rsidRPr="007D1DFE">
        <w:rPr>
          <w:rFonts w:ascii="Times New Roman" w:eastAsia="Times New Roman" w:hAnsi="Times New Roman" w:cs="Times New Roman"/>
          <w:sz w:val="24"/>
          <w:szCs w:val="24"/>
          <w:lang w:eastAsia="it-IT"/>
        </w:rPr>
        <w:t xml:space="preserve"> dell’articolo 53 del decreto legislativo 165/2001</w:t>
      </w:r>
      <w:r w:rsidR="000C1A36" w:rsidRPr="007D1DFE">
        <w:rPr>
          <w:rFonts w:ascii="Times New Roman" w:eastAsia="Times New Roman" w:hAnsi="Times New Roman" w:cs="Times New Roman"/>
          <w:sz w:val="24"/>
          <w:szCs w:val="24"/>
          <w:lang w:eastAsia="it-IT"/>
        </w:rPr>
        <w:t xml:space="preserve">, </w:t>
      </w:r>
      <w:r w:rsidR="00437C5A" w:rsidRPr="007D1DFE">
        <w:rPr>
          <w:rFonts w:ascii="Times New Roman" w:eastAsia="Times New Roman" w:hAnsi="Times New Roman" w:cs="Times New Roman"/>
          <w:sz w:val="24"/>
          <w:szCs w:val="24"/>
          <w:lang w:eastAsia="it-IT"/>
        </w:rPr>
        <w:t>nell’introdurre la figura della cd. “incompatibilità successiva” (</w:t>
      </w:r>
      <w:proofErr w:type="spellStart"/>
      <w:r w:rsidR="00437C5A" w:rsidRPr="007D1DFE">
        <w:rPr>
          <w:rFonts w:ascii="Times New Roman" w:eastAsia="Times New Roman" w:hAnsi="Times New Roman" w:cs="Times New Roman"/>
          <w:sz w:val="24"/>
          <w:szCs w:val="24"/>
          <w:lang w:eastAsia="it-IT"/>
        </w:rPr>
        <w:t>pantouflage</w:t>
      </w:r>
      <w:proofErr w:type="spellEnd"/>
      <w:r w:rsidR="00437C5A"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prevede che “</w:t>
      </w:r>
      <w:r w:rsidRPr="007D1DFE">
        <w:rPr>
          <w:rFonts w:ascii="Times New Roman" w:eastAsia="Times New Roman" w:hAnsi="Times New Roman" w:cs="Times New Roman"/>
          <w:i/>
          <w:sz w:val="24"/>
          <w:szCs w:val="24"/>
          <w:lang w:eastAsia="it-IT"/>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r w:rsidR="001C2ED3" w:rsidRPr="007D1DFE">
        <w:rPr>
          <w:rFonts w:ascii="Times New Roman" w:eastAsia="Times New Roman" w:hAnsi="Times New Roman" w:cs="Times New Roman"/>
          <w:i/>
          <w:sz w:val="24"/>
          <w:szCs w:val="24"/>
          <w:lang w:eastAsia="it-IT"/>
        </w:rPr>
        <w:t>è</w:t>
      </w:r>
      <w:r w:rsidRPr="007D1DFE">
        <w:rPr>
          <w:rFonts w:ascii="Times New Roman" w:eastAsia="Times New Roman" w:hAnsi="Times New Roman" w:cs="Times New Roman"/>
          <w:i/>
          <w:sz w:val="24"/>
          <w:szCs w:val="24"/>
          <w:lang w:eastAsia="it-IT"/>
        </w:rPr>
        <w:t xml:space="preserve"> fatto divieto ai soggetti privati che li hanno conclusi o conferiti di contrattare con le pubbliche amministrazioni per i successivi tre anni con obbligo di  restituzione  dei  compensi eventualmente percepiti e accertati ad essi riferiti</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Pertanto, la struttura competente in materia di personale è tenuta ad inserire nei contratti di conferimento di incarichi dirigenziali o di funzioni dirigenziali un’apposita clausola volta a dare attuazione alla norma in questione.</w:t>
      </w:r>
    </w:p>
    <w:p w:rsidR="00437C5A"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Inoltre, ciascun dirigente competente in relazione allo specifico processo è tenuto ad inserire in ciascun contratto di attribuzione di incarichi di collaborazione o consulenza o nei bandi di gara e negli avvisi relativi ad affidamenti, anche attraverso procedure negoziate, apposita clausola  per assicurare il rispetto della norma. Il soggetto nei cui confronti dovesse emergere detta condizione ostativa deve essere escluso dalla procedura di affidamen</w:t>
      </w:r>
      <w:r w:rsidR="00835673" w:rsidRPr="007D1DFE">
        <w:rPr>
          <w:rFonts w:ascii="Times New Roman" w:eastAsia="Times New Roman" w:hAnsi="Times New Roman" w:cs="Times New Roman"/>
          <w:sz w:val="24"/>
          <w:szCs w:val="24"/>
          <w:lang w:eastAsia="it-IT"/>
        </w:rPr>
        <w:t>to.</w:t>
      </w:r>
    </w:p>
    <w:p w:rsidR="009903C3" w:rsidRPr="007D1DFE" w:rsidRDefault="00437C5A"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lastRenderedPageBreak/>
        <w:t>2.5.</w:t>
      </w:r>
      <w:r w:rsidR="006C679D" w:rsidRPr="007D1DFE">
        <w:rPr>
          <w:rFonts w:ascii="Times New Roman" w:eastAsia="Times New Roman" w:hAnsi="Times New Roman" w:cs="Times New Roman"/>
          <w:b/>
          <w:sz w:val="24"/>
          <w:szCs w:val="24"/>
          <w:lang w:eastAsia="it-IT"/>
        </w:rPr>
        <w:t>9</w:t>
      </w:r>
      <w:r w:rsidRPr="007D1DFE">
        <w:rPr>
          <w:rFonts w:ascii="Times New Roman" w:eastAsia="Times New Roman" w:hAnsi="Times New Roman" w:cs="Times New Roman"/>
          <w:b/>
          <w:sz w:val="24"/>
          <w:szCs w:val="24"/>
          <w:lang w:eastAsia="it-IT"/>
        </w:rPr>
        <w:t xml:space="preserve">. Monitoraggio dei rapporti tra l’Amministrazione e i soggetti che con essa stipulano contratti o siano destinatari di autorizzazioni o concessioni di vantaggi economici comunque denominati. </w:t>
      </w:r>
    </w:p>
    <w:p w:rsidR="00397A9F" w:rsidRPr="007D1DFE" w:rsidRDefault="00397A9F" w:rsidP="007D1DFE">
      <w:pPr>
        <w:autoSpaceDE w:val="0"/>
        <w:autoSpaceDN w:val="0"/>
        <w:adjustRightInd w:val="0"/>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ab/>
      </w:r>
      <w:r w:rsidRPr="007D1DFE">
        <w:rPr>
          <w:rFonts w:ascii="Times New Roman" w:eastAsia="Times New Roman" w:hAnsi="Times New Roman" w:cs="Times New Roman"/>
          <w:sz w:val="24"/>
          <w:szCs w:val="24"/>
          <w:lang w:eastAsia="it-IT"/>
        </w:rPr>
        <w:t>Tale attività è espressamente prevista dall’articolo 1, comma 9, lettera e) della legge 190/2012. Pertanto, fermi restando gli obblighi di astensione nei casi di conflitto di interessi, il  responsabile del procedimento è tenuto</w:t>
      </w:r>
      <w:r w:rsidR="008A44EF"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 xml:space="preserve"> prima che sia sottoscritto il contratto o adottato il provvedimento di concessione di vantaggi economici comunque denominati,</w:t>
      </w:r>
      <w:r w:rsidR="008A44EF" w:rsidRPr="007D1DFE">
        <w:rPr>
          <w:rFonts w:ascii="Times New Roman" w:eastAsia="Times New Roman" w:hAnsi="Times New Roman" w:cs="Times New Roman"/>
          <w:sz w:val="24"/>
          <w:szCs w:val="24"/>
          <w:lang w:eastAsia="it-IT"/>
        </w:rPr>
        <w:t xml:space="preserve"> ad </w:t>
      </w:r>
      <w:r w:rsidRPr="007D1DFE">
        <w:rPr>
          <w:rFonts w:ascii="Times New Roman" w:eastAsia="Times New Roman" w:hAnsi="Times New Roman" w:cs="Times New Roman"/>
          <w:sz w:val="24"/>
          <w:szCs w:val="24"/>
          <w:lang w:eastAsia="it-IT"/>
        </w:rPr>
        <w:t>acquisi</w:t>
      </w:r>
      <w:r w:rsidR="008A44EF" w:rsidRPr="007D1DFE">
        <w:rPr>
          <w:rFonts w:ascii="Times New Roman" w:eastAsia="Times New Roman" w:hAnsi="Times New Roman" w:cs="Times New Roman"/>
          <w:sz w:val="24"/>
          <w:szCs w:val="24"/>
          <w:lang w:eastAsia="it-IT"/>
        </w:rPr>
        <w:t>re</w:t>
      </w:r>
      <w:r w:rsidRPr="007D1DFE">
        <w:rPr>
          <w:rFonts w:ascii="Times New Roman" w:eastAsia="Times New Roman" w:hAnsi="Times New Roman" w:cs="Times New Roman"/>
          <w:sz w:val="24"/>
          <w:szCs w:val="24"/>
          <w:lang w:eastAsia="it-IT"/>
        </w:rPr>
        <w:t xml:space="preserve"> </w:t>
      </w:r>
      <w:r w:rsidR="008A44EF" w:rsidRPr="007D1DFE">
        <w:rPr>
          <w:rFonts w:ascii="Times New Roman" w:eastAsia="Times New Roman" w:hAnsi="Times New Roman" w:cs="Times New Roman"/>
          <w:sz w:val="24"/>
          <w:szCs w:val="24"/>
          <w:lang w:eastAsia="it-IT"/>
        </w:rPr>
        <w:t xml:space="preserve">apposita </w:t>
      </w:r>
      <w:r w:rsidRPr="007D1DFE">
        <w:rPr>
          <w:rFonts w:ascii="Times New Roman" w:eastAsia="Times New Roman" w:hAnsi="Times New Roman" w:cs="Times New Roman"/>
          <w:sz w:val="24"/>
          <w:szCs w:val="24"/>
          <w:lang w:eastAsia="it-IT"/>
        </w:rPr>
        <w:t>dichiarazion</w:t>
      </w:r>
      <w:r w:rsidR="008A44EF" w:rsidRPr="007D1DFE">
        <w:rPr>
          <w:rFonts w:ascii="Times New Roman" w:eastAsia="Times New Roman" w:hAnsi="Times New Roman" w:cs="Times New Roman"/>
          <w:sz w:val="24"/>
          <w:szCs w:val="24"/>
          <w:lang w:eastAsia="it-IT"/>
        </w:rPr>
        <w:t>e</w:t>
      </w:r>
      <w:r w:rsidRPr="007D1DFE">
        <w:rPr>
          <w:rFonts w:ascii="Times New Roman" w:eastAsia="Times New Roman" w:hAnsi="Times New Roman" w:cs="Times New Roman"/>
          <w:sz w:val="24"/>
          <w:szCs w:val="24"/>
          <w:lang w:eastAsia="it-IT"/>
        </w:rPr>
        <w:t xml:space="preserve"> sostitutiv</w:t>
      </w:r>
      <w:r w:rsidR="008A44EF"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 xml:space="preserve"> di atto notorio da parte del soggetto contraente o beneficiario</w:t>
      </w:r>
      <w:r w:rsidR="008A44EF" w:rsidRPr="007D1DFE">
        <w:rPr>
          <w:rFonts w:ascii="Times New Roman" w:eastAsia="Times New Roman" w:hAnsi="Times New Roman" w:cs="Times New Roman"/>
          <w:sz w:val="24"/>
          <w:szCs w:val="24"/>
          <w:lang w:eastAsia="it-IT"/>
        </w:rPr>
        <w:t xml:space="preserve"> circa l’eventuale </w:t>
      </w:r>
      <w:r w:rsidRPr="007D1DFE">
        <w:rPr>
          <w:rFonts w:ascii="Times New Roman" w:eastAsia="Times New Roman" w:hAnsi="Times New Roman" w:cs="Times New Roman"/>
          <w:sz w:val="24"/>
          <w:szCs w:val="24"/>
          <w:lang w:eastAsia="it-IT"/>
        </w:rPr>
        <w:t>esistenza  di relazioni di coniugio, parentali fino al secondo grado o di affinità fino al secondo grado con dirigenti e dipendenti dell’Amministrazione.</w:t>
      </w:r>
      <w:r w:rsidRPr="007D1DFE">
        <w:rPr>
          <w:rFonts w:ascii="Times New Roman" w:eastAsia="Times New Roman" w:hAnsi="Times New Roman" w:cs="Times New Roman"/>
          <w:b/>
          <w:sz w:val="24"/>
          <w:szCs w:val="24"/>
          <w:lang w:eastAsia="it-IT"/>
        </w:rPr>
        <w:t xml:space="preserve">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ab/>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sz w:val="24"/>
          <w:szCs w:val="24"/>
          <w:lang w:eastAsia="it-IT"/>
        </w:rPr>
        <w:tab/>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2.5.1</w:t>
      </w:r>
      <w:r w:rsidR="006C679D" w:rsidRPr="007D1DFE">
        <w:rPr>
          <w:rFonts w:ascii="Times New Roman" w:eastAsia="Times New Roman" w:hAnsi="Times New Roman" w:cs="Times New Roman"/>
          <w:b/>
          <w:sz w:val="24"/>
          <w:szCs w:val="24"/>
          <w:lang w:eastAsia="it-IT"/>
        </w:rPr>
        <w:t>0</w:t>
      </w:r>
      <w:r w:rsidRPr="007D1DFE">
        <w:rPr>
          <w:rFonts w:ascii="Times New Roman" w:eastAsia="Times New Roman" w:hAnsi="Times New Roman" w:cs="Times New Roman"/>
          <w:b/>
          <w:sz w:val="24"/>
          <w:szCs w:val="24"/>
          <w:lang w:eastAsia="it-IT"/>
        </w:rPr>
        <w:t xml:space="preserve">. Divieti di far parte di commissioni e di assegnazione a determinati uffici in caso di condanna penale per delitti contro la </w:t>
      </w:r>
      <w:r w:rsidR="00A458E0" w:rsidRPr="007D1DFE">
        <w:rPr>
          <w:rFonts w:ascii="Times New Roman" w:eastAsia="Times New Roman" w:hAnsi="Times New Roman" w:cs="Times New Roman"/>
          <w:b/>
          <w:sz w:val="24"/>
          <w:szCs w:val="24"/>
          <w:lang w:eastAsia="it-IT"/>
        </w:rPr>
        <w:t>PA</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OldStyle" w:eastAsia="Times New Roman" w:hAnsi="BookmanOldStyle" w:cs="BookmanOldStyle"/>
          <w:sz w:val="24"/>
          <w:szCs w:val="24"/>
          <w:lang w:eastAsia="it-IT"/>
        </w:rPr>
      </w:pPr>
      <w:r w:rsidRPr="007D1DFE">
        <w:rPr>
          <w:rFonts w:ascii="Times New Roman" w:eastAsia="Times New Roman" w:hAnsi="Times New Roman" w:cs="Times New Roman"/>
          <w:sz w:val="24"/>
          <w:szCs w:val="24"/>
          <w:lang w:eastAsia="it-IT"/>
        </w:rPr>
        <w:tab/>
      </w:r>
      <w:r w:rsidRPr="007D1DFE">
        <w:rPr>
          <w:rFonts w:ascii="BookmanOldStyle" w:eastAsia="Times New Roman" w:hAnsi="BookmanOldStyle" w:cs="BookmanOldStyle"/>
          <w:sz w:val="24"/>
          <w:szCs w:val="24"/>
          <w:lang w:eastAsia="it-IT"/>
        </w:rPr>
        <w:t xml:space="preserve">L’art. 35 </w:t>
      </w:r>
      <w:r w:rsidRPr="007D1DFE">
        <w:rPr>
          <w:rFonts w:ascii="BookmanOldStyle-Italic" w:eastAsia="Times New Roman" w:hAnsi="BookmanOldStyle-Italic" w:cs="BookmanOldStyle-Italic"/>
          <w:i/>
          <w:iCs/>
          <w:sz w:val="24"/>
          <w:szCs w:val="24"/>
          <w:lang w:eastAsia="it-IT"/>
        </w:rPr>
        <w:t xml:space="preserve">bis </w:t>
      </w:r>
      <w:r w:rsidRPr="007D1DFE">
        <w:rPr>
          <w:rFonts w:ascii="BookmanOldStyle" w:eastAsia="Times New Roman" w:hAnsi="BookmanOldStyle" w:cs="BookmanOldStyle"/>
          <w:sz w:val="24"/>
          <w:szCs w:val="24"/>
          <w:lang w:eastAsia="it-IT"/>
        </w:rPr>
        <w:t xml:space="preserve">del d.lgs. 165/2001, introdotto dalla legge 190/2012, stabilisce che coloro che sono stati condannati, anche con sentenza non passata in giudicato, per reati contro </w:t>
      </w:r>
      <w:smartTag w:uri="urn:schemas-microsoft-com:office:smarttags" w:element="PersonName">
        <w:smartTagPr>
          <w:attr w:name="ProductID" w:val="la pubblica Amministrazione"/>
        </w:smartTagPr>
        <w:r w:rsidRPr="007D1DFE">
          <w:rPr>
            <w:rFonts w:ascii="BookmanOldStyle" w:eastAsia="Times New Roman" w:hAnsi="BookmanOldStyle" w:cs="BookmanOldStyle"/>
            <w:sz w:val="24"/>
            <w:szCs w:val="24"/>
            <w:lang w:eastAsia="it-IT"/>
          </w:rPr>
          <w:t>la pubblica Amministrazione</w:t>
        </w:r>
      </w:smartTag>
      <w:r w:rsidRPr="007D1DFE">
        <w:rPr>
          <w:rFonts w:ascii="BookmanOldStyle" w:eastAsia="Times New Roman" w:hAnsi="BookmanOldStyle" w:cs="BookmanOldStyle"/>
          <w:sz w:val="24"/>
          <w:szCs w:val="24"/>
          <w:lang w:eastAsia="it-IT"/>
        </w:rPr>
        <w:t>:</w:t>
      </w:r>
    </w:p>
    <w:p w:rsidR="009903C3" w:rsidRPr="007D1DFE" w:rsidRDefault="009903C3" w:rsidP="007D1DFE">
      <w:pPr>
        <w:autoSpaceDE w:val="0"/>
        <w:autoSpaceDN w:val="0"/>
        <w:adjustRightInd w:val="0"/>
        <w:spacing w:line="240" w:lineRule="auto"/>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a) non possono fare parte, anche con compiti di segreteria, di commissioni per l'accesso o la selezione a pubblici impieghi;</w:t>
      </w:r>
    </w:p>
    <w:p w:rsidR="009903C3" w:rsidRPr="007D1DFE" w:rsidRDefault="009903C3" w:rsidP="007D1DFE">
      <w:pPr>
        <w:autoSpaceDE w:val="0"/>
        <w:autoSpaceDN w:val="0"/>
        <w:adjustRightInd w:val="0"/>
        <w:spacing w:line="240" w:lineRule="auto"/>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9903C3" w:rsidRPr="007D1DFE" w:rsidRDefault="009903C3" w:rsidP="007D1DFE">
      <w:pPr>
        <w:autoSpaceDE w:val="0"/>
        <w:autoSpaceDN w:val="0"/>
        <w:adjustRightInd w:val="0"/>
        <w:spacing w:line="240" w:lineRule="auto"/>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c) 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9903C3" w:rsidRPr="007D1DFE" w:rsidRDefault="009903C3" w:rsidP="007D1DFE">
      <w:pPr>
        <w:autoSpaceDE w:val="0"/>
        <w:autoSpaceDN w:val="0"/>
        <w:adjustRightInd w:val="0"/>
        <w:spacing w:line="240" w:lineRule="auto"/>
        <w:ind w:firstLine="708"/>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Inoltre, ai sensi dell’art. 3 del d.lgs. 39/2013, cui si rimanda, sempre a coloro che sono stati condannati, anche con sentenza non passata in giudicato, per reati contro la pubblica Amministrazione non possono essere conferiti incarichi dirigenziali né di amministratore di ente pubblico.</w:t>
      </w:r>
    </w:p>
    <w:p w:rsidR="009903C3" w:rsidRPr="007D1DFE" w:rsidRDefault="009903C3" w:rsidP="007D1DFE">
      <w:pPr>
        <w:autoSpaceDE w:val="0"/>
        <w:autoSpaceDN w:val="0"/>
        <w:adjustRightInd w:val="0"/>
        <w:spacing w:line="240" w:lineRule="auto"/>
        <w:ind w:firstLine="708"/>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 xml:space="preserve">In tutti i casi sopra indicati, la struttura competente in ordine al procedimento è tenuta a verificare l’insussistenza di eventuali precedenti penali prima dell’adozione del provvedimento di assegnazione ad uffici o di nomina dei componenti le commissioni di concorso o di gara, ovvero prima di conferire incarichi dirigenziali. Tale accertamento dovrà essere effettuato mediante acquisizione d’ufficio delle necessarie informazioni ovvero per mezzo di dichiarazione sostitutiva di certificazione resa dall’interessato ai sensi del d.P.R. n. 445 del 2000, soggetta ai controlli di cui all’articolo 71 dello stesso decreto presidenziale.  </w:t>
      </w:r>
    </w:p>
    <w:p w:rsidR="009903C3" w:rsidRPr="007D1DFE" w:rsidRDefault="009903C3" w:rsidP="007D1DFE">
      <w:pPr>
        <w:autoSpaceDE w:val="0"/>
        <w:autoSpaceDN w:val="0"/>
        <w:adjustRightInd w:val="0"/>
        <w:spacing w:line="240" w:lineRule="auto"/>
        <w:rPr>
          <w:rFonts w:ascii="BookmanOldStyle-Italic" w:eastAsia="Times New Roman" w:hAnsi="BookmanOldStyle-Italic" w:cs="BookmanOldStyle-Italic"/>
          <w:i/>
          <w:iCs/>
          <w:sz w:val="24"/>
          <w:szCs w:val="24"/>
          <w:u w:val="single"/>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u w:val="single"/>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2.5.1</w:t>
      </w:r>
      <w:r w:rsidR="00F678EF" w:rsidRPr="007D1DFE">
        <w:rPr>
          <w:rFonts w:ascii="Times New Roman" w:eastAsia="Times New Roman" w:hAnsi="Times New Roman" w:cs="Times New Roman"/>
          <w:b/>
          <w:sz w:val="24"/>
          <w:szCs w:val="24"/>
          <w:lang w:eastAsia="it-IT"/>
        </w:rPr>
        <w:t>1</w:t>
      </w:r>
      <w:r w:rsidRPr="007D1DFE">
        <w:rPr>
          <w:rFonts w:ascii="Times New Roman" w:eastAsia="Times New Roman" w:hAnsi="Times New Roman" w:cs="Times New Roman"/>
          <w:b/>
          <w:sz w:val="24"/>
          <w:szCs w:val="24"/>
          <w:lang w:eastAsia="it-IT"/>
        </w:rPr>
        <w:t>. Patti di integrità.</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I patti di integrità e i protocolli di legalità si identificano in una serie di condizioni o appendici contrattuali, presupposto necessario e condizionante per la partecipazione a gare ed affidamenti, volte a valorizzare comportamenti eticamente adeguati per tutti i concorrenti. La mancata adesione a tali patti o protocollo dovrà dar luogo all’esclusione del concorrente </w:t>
      </w:r>
      <w:r w:rsidRPr="007D1DFE">
        <w:rPr>
          <w:rFonts w:ascii="Times New Roman" w:eastAsia="Times New Roman" w:hAnsi="Times New Roman" w:cs="Times New Roman"/>
          <w:sz w:val="24"/>
          <w:szCs w:val="24"/>
          <w:vertAlign w:val="superscript"/>
          <w:lang w:eastAsia="it-IT"/>
        </w:rPr>
        <w:footnoteReference w:id="38"/>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ab/>
      </w:r>
      <w:r w:rsidR="007B0361" w:rsidRPr="007D1DFE">
        <w:rPr>
          <w:rFonts w:ascii="Times New Roman" w:eastAsia="Times New Roman" w:hAnsi="Times New Roman" w:cs="Times New Roman"/>
          <w:sz w:val="24"/>
          <w:szCs w:val="24"/>
          <w:lang w:eastAsia="it-IT"/>
        </w:rPr>
        <w:t>L</w:t>
      </w:r>
      <w:r w:rsidRPr="007D1DFE">
        <w:rPr>
          <w:rFonts w:ascii="Times New Roman" w:eastAsia="Times New Roman" w:hAnsi="Times New Roman" w:cs="Times New Roman"/>
          <w:sz w:val="24"/>
          <w:szCs w:val="24"/>
          <w:lang w:eastAsia="it-IT"/>
        </w:rPr>
        <w:t>’Ufficio di presidenza provvederà ad adottare uno schema di deliberazione di disciplina dei Patti d’integrità; tale schema sarà sottoposto a consultazione pubblica, tramite pubblicazione dello stesso testo sul sito del Consiglio regionale, prima dell’approvazione definitiva da parte dello stesso Ufficio di presidenza.</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2.5.1</w:t>
      </w:r>
      <w:r w:rsidR="00F678EF" w:rsidRPr="007D1DFE">
        <w:rPr>
          <w:rFonts w:ascii="Times New Roman" w:eastAsia="Times New Roman" w:hAnsi="Times New Roman" w:cs="Times New Roman"/>
          <w:b/>
          <w:sz w:val="24"/>
          <w:szCs w:val="24"/>
          <w:lang w:eastAsia="it-IT"/>
        </w:rPr>
        <w:t>2</w:t>
      </w:r>
      <w:r w:rsidRPr="007D1DFE">
        <w:rPr>
          <w:rFonts w:ascii="Times New Roman" w:eastAsia="Times New Roman" w:hAnsi="Times New Roman" w:cs="Times New Roman"/>
          <w:b/>
          <w:sz w:val="24"/>
          <w:szCs w:val="24"/>
          <w:lang w:eastAsia="it-IT"/>
        </w:rPr>
        <w:t xml:space="preserve">. Tutela dei dipendenti pubblici che segnalano illeciti.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
          <w:sz w:val="24"/>
          <w:szCs w:val="24"/>
          <w:lang w:eastAsia="it-IT"/>
        </w:rPr>
        <w:tab/>
      </w:r>
      <w:r w:rsidRPr="007D1DFE">
        <w:rPr>
          <w:rFonts w:ascii="Times New Roman" w:eastAsia="Times New Roman" w:hAnsi="Times New Roman" w:cs="Times New Roman"/>
          <w:sz w:val="24"/>
          <w:szCs w:val="24"/>
          <w:lang w:eastAsia="it-IT"/>
        </w:rPr>
        <w:t>L’art. 54 bis</w:t>
      </w:r>
      <w:r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sz w:val="24"/>
          <w:szCs w:val="24"/>
          <w:lang w:eastAsia="it-IT"/>
        </w:rPr>
        <w:t xml:space="preserve">del decreto legislativo 165/2001 prevede particolari forme di tutela per il dipendente </w:t>
      </w:r>
      <w:r w:rsidRPr="007D1DFE">
        <w:rPr>
          <w:rFonts w:ascii="Times New Roman" w:eastAsia="Times New Roman" w:hAnsi="Times New Roman" w:cs="Times New Roman"/>
          <w:bCs/>
          <w:iCs/>
          <w:sz w:val="24"/>
          <w:szCs w:val="24"/>
          <w:lang w:eastAsia="it-IT"/>
        </w:rPr>
        <w:t xml:space="preserve">che denunci all'autorità giudiziaria o alla Corte dei conti, ovvero riferisce al proprio superiore gerarchico condotte illecite di cui sia venuto a conoscenza in ragione del rapporto di lavoro.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t xml:space="preserve">Tale dipendente non può essere oggetto di sanzioni o sottoposto ad alcuna misura discriminatoria per motivi collegati, anche indirettamente, alla denuncia.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t>La sua identità non può essere rivelata senza il suo consenso, a meno che sia assolutamente indispensabile per la propria difesa. Eventuali misure discriminatorie sono segnalate all’A.N.A.C. e al Dipartimento della funzione pubblica dall'interessato o dalle organizzazioni sindacali maggiormente rappresentative nell'amministrazione. E’ escluso il diritto di accesso alla denuncia.</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t xml:space="preserve">Nel corso del 2015, l’ANAC ha dettato apposite Linee guida sull’argomento </w:t>
      </w:r>
      <w:r w:rsidRPr="007D1DFE">
        <w:rPr>
          <w:rFonts w:ascii="Times New Roman" w:eastAsia="Times New Roman" w:hAnsi="Times New Roman" w:cs="Times New Roman"/>
          <w:bCs/>
          <w:iCs/>
          <w:sz w:val="24"/>
          <w:szCs w:val="24"/>
          <w:vertAlign w:val="superscript"/>
          <w:lang w:eastAsia="it-IT"/>
        </w:rPr>
        <w:footnoteReference w:id="39"/>
      </w:r>
      <w:r w:rsidRPr="007D1DFE">
        <w:rPr>
          <w:rFonts w:ascii="Times New Roman" w:eastAsia="Times New Roman" w:hAnsi="Times New Roman" w:cs="Times New Roman"/>
          <w:bCs/>
          <w:iCs/>
          <w:sz w:val="24"/>
          <w:szCs w:val="24"/>
          <w:lang w:eastAsia="it-IT"/>
        </w:rPr>
        <w:t>. Tra gli aspetti in esse trattati, si ritiene qui di richiamare, in particolare ed in sintesi, quelli relativi a:</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shd w:val="clear" w:color="auto" w:fill="F9F9F9"/>
          <w:lang w:eastAsia="it-IT"/>
        </w:rPr>
      </w:pPr>
      <w:r w:rsidRPr="007D1DFE">
        <w:rPr>
          <w:rFonts w:ascii="Times New Roman" w:eastAsia="Times New Roman" w:hAnsi="Times New Roman" w:cs="Times New Roman"/>
          <w:bCs/>
          <w:iCs/>
          <w:sz w:val="24"/>
          <w:szCs w:val="24"/>
          <w:lang w:eastAsia="it-IT"/>
        </w:rPr>
        <w:t xml:space="preserve">- l’oggetto della segnalazione, che </w:t>
      </w:r>
      <w:r w:rsidRPr="007D1DFE">
        <w:rPr>
          <w:rFonts w:ascii="Times New Roman" w:eastAsia="Times New Roman" w:hAnsi="Times New Roman" w:cs="Times New Roman"/>
          <w:sz w:val="24"/>
          <w:szCs w:val="24"/>
          <w:lang w:eastAsia="it-IT"/>
        </w:rPr>
        <w:t>comprende non solo l’intera gamma dei delitti contro la pubblica amministrazione, “</w:t>
      </w:r>
      <w:r w:rsidRPr="007D1DFE">
        <w:rPr>
          <w:rFonts w:ascii="Times New Roman" w:eastAsia="Times New Roman" w:hAnsi="Times New Roman" w:cs="Times New Roman"/>
          <w:i/>
          <w:sz w:val="24"/>
          <w:szCs w:val="24"/>
          <w:lang w:eastAsia="it-IT"/>
        </w:rPr>
        <w:t>ma anche le situazioni in cui, nel corso dell’attività amministrativa, si riscontri l’abuso da parte di un soggetto del potere a lui affidato al fine di ottenere vantaggi privati, nonché i fatti in cui – a prescindere dalla rilevanza penale – venga in evidenza un mal funzionamento dell’amministrazione a causa dell’uso a fini privati delle funzioni attribuite, ivi compreso l’inquinamento dell’azione amministrativa </w:t>
      </w:r>
      <w:r w:rsidRPr="007D1DFE">
        <w:rPr>
          <w:rFonts w:ascii="Times New Roman" w:eastAsia="Times New Roman" w:hAnsi="Times New Roman" w:cs="Times New Roman"/>
          <w:iCs/>
          <w:sz w:val="24"/>
          <w:szCs w:val="24"/>
          <w:lang w:eastAsia="it-IT"/>
        </w:rPr>
        <w:t xml:space="preserve">ab </w:t>
      </w:r>
      <w:proofErr w:type="spellStart"/>
      <w:r w:rsidRPr="007D1DFE">
        <w:rPr>
          <w:rFonts w:ascii="Times New Roman" w:eastAsia="Times New Roman" w:hAnsi="Times New Roman" w:cs="Times New Roman"/>
          <w:iCs/>
          <w:sz w:val="24"/>
          <w:szCs w:val="24"/>
          <w:lang w:eastAsia="it-IT"/>
        </w:rPr>
        <w:t>externo</w:t>
      </w:r>
      <w:proofErr w:type="spellEnd"/>
      <w:r w:rsidRPr="007D1DFE">
        <w:rPr>
          <w:rFonts w:ascii="Times New Roman" w:eastAsia="Times New Roman" w:hAnsi="Times New Roman" w:cs="Times New Roman"/>
          <w:i/>
          <w:iCs/>
          <w:sz w:val="24"/>
          <w:szCs w:val="24"/>
          <w:lang w:eastAsia="it-IT"/>
        </w:rPr>
        <w:t>.</w:t>
      </w:r>
      <w:r w:rsidR="00512521" w:rsidRPr="007D1DFE">
        <w:rPr>
          <w:rFonts w:ascii="Times New Roman" w:eastAsia="Times New Roman" w:hAnsi="Times New Roman" w:cs="Times New Roman"/>
          <w:i/>
          <w:iCs/>
          <w:sz w:val="24"/>
          <w:szCs w:val="24"/>
          <w:lang w:eastAsia="it-IT"/>
        </w:rPr>
        <w:t>”</w:t>
      </w:r>
      <w:r w:rsidRPr="007D1DFE">
        <w:rPr>
          <w:rFonts w:ascii="Times New Roman" w:eastAsia="Times New Roman" w:hAnsi="Times New Roman" w:cs="Times New Roman"/>
          <w:sz w:val="24"/>
          <w:szCs w:val="24"/>
          <w:lang w:eastAsia="it-IT"/>
        </w:rPr>
        <w:t>;</w:t>
      </w:r>
    </w:p>
    <w:p w:rsidR="00835673" w:rsidRPr="007D1DFE" w:rsidRDefault="0083567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il soggetto destinatario della segnalazione, che l’ANAC auspica venga individuato, da parte di ciascuna </w:t>
      </w:r>
      <w:r w:rsidR="00A458E0" w:rsidRPr="007D1DFE">
        <w:rPr>
          <w:rFonts w:ascii="Times New Roman" w:eastAsia="Times New Roman" w:hAnsi="Times New Roman" w:cs="Times New Roman"/>
          <w:sz w:val="24"/>
          <w:szCs w:val="24"/>
          <w:lang w:eastAsia="it-IT"/>
        </w:rPr>
        <w:t>PA</w:t>
      </w:r>
      <w:r w:rsidRPr="007D1DFE">
        <w:rPr>
          <w:rFonts w:ascii="Times New Roman" w:eastAsia="Times New Roman" w:hAnsi="Times New Roman" w:cs="Times New Roman"/>
          <w:sz w:val="24"/>
          <w:szCs w:val="24"/>
          <w:lang w:eastAsia="it-IT"/>
        </w:rPr>
        <w:t>, nel Responsabile della prevenzione della corruzione  ; qualora la segnalazione dovesse riguardare questi, la segnalazione potrà essere inviata direttamente all’ANAC;</w:t>
      </w:r>
    </w:p>
    <w:p w:rsidR="00835673" w:rsidRPr="007D1DFE" w:rsidRDefault="0083567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la procedura da seguire per una tutela effettiva dell’identità del segnalante, a partire dall’’analisi dei rischi nella gestione delle informazioni e conseguente individuazione di misure per la gestione dei rischi medesimi; </w:t>
      </w:r>
    </w:p>
    <w:p w:rsidR="009903C3" w:rsidRPr="007D1DFE" w:rsidRDefault="0083567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le azioni da intraprendere da parte del Responsabile per la prevenzione della corruzione qualora </w:t>
      </w:r>
      <w:r w:rsidR="009903C3" w:rsidRPr="007D1DFE">
        <w:rPr>
          <w:rFonts w:ascii="Times New Roman" w:eastAsia="Times New Roman" w:hAnsi="Times New Roman" w:cs="Times New Roman"/>
          <w:sz w:val="24"/>
          <w:szCs w:val="24"/>
          <w:lang w:eastAsia="it-IT"/>
        </w:rPr>
        <w:t xml:space="preserve">ravvisi elementi di non manifesta infondatezza del fatto, quali la segnalazione a: </w:t>
      </w:r>
    </w:p>
    <w:p w:rsidR="009903C3" w:rsidRPr="007D1DFE" w:rsidRDefault="009903C3" w:rsidP="007D1DF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dirigente della struttura in cui si è verificato il fatto per l’acquisizione di elementi istruttori, solo laddove non vi siano ipotesi di reato;</w:t>
      </w:r>
    </w:p>
    <w:p w:rsidR="009903C3" w:rsidRPr="007D1DFE" w:rsidRDefault="009903C3" w:rsidP="007D1DFE">
      <w:pPr>
        <w:numPr>
          <w:ilvl w:val="0"/>
          <w:numId w:val="15"/>
        </w:numPr>
        <w:spacing w:line="240" w:lineRule="auto"/>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 struttura competente per i procedimenti disciplinari;</w:t>
      </w:r>
    </w:p>
    <w:p w:rsidR="009903C3" w:rsidRPr="007D1DFE" w:rsidRDefault="009903C3" w:rsidP="007D1DFE">
      <w:pPr>
        <w:numPr>
          <w:ilvl w:val="0"/>
          <w:numId w:val="15"/>
        </w:numPr>
        <w:spacing w:line="240" w:lineRule="auto"/>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l’Autorità giudiziaria, la Corte dei conti e l’ANAC, in base alla rispettiva competenza;</w:t>
      </w:r>
    </w:p>
    <w:p w:rsidR="009903C3" w:rsidRPr="007D1DFE" w:rsidRDefault="009903C3" w:rsidP="007D1DFE">
      <w:pPr>
        <w:numPr>
          <w:ilvl w:val="0"/>
          <w:numId w:val="15"/>
        </w:numPr>
        <w:spacing w:line="240" w:lineRule="auto"/>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Dipartimento della funzione pubblica.</w:t>
      </w:r>
    </w:p>
    <w:p w:rsidR="009903C3" w:rsidRPr="007D1DFE" w:rsidRDefault="009903C3" w:rsidP="007D1DFE">
      <w:pPr>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sz w:val="24"/>
          <w:szCs w:val="24"/>
          <w:lang w:eastAsia="it-IT"/>
        </w:rPr>
        <w:t xml:space="preserve">                In base alle suddette Linee guida, la tutela dell’identità segnalante deve essere assicurata anche allorch</w:t>
      </w:r>
      <w:r w:rsidR="0008555D" w:rsidRPr="007D1DFE">
        <w:rPr>
          <w:rFonts w:ascii="Times New Roman" w:eastAsia="Times New Roman" w:hAnsi="Times New Roman" w:cs="Times New Roman"/>
          <w:sz w:val="24"/>
          <w:szCs w:val="24"/>
          <w:lang w:eastAsia="it-IT"/>
        </w:rPr>
        <w:t>é</w:t>
      </w:r>
      <w:r w:rsidRPr="007D1DFE">
        <w:rPr>
          <w:rFonts w:ascii="Times New Roman" w:eastAsia="Times New Roman" w:hAnsi="Times New Roman" w:cs="Times New Roman"/>
          <w:sz w:val="24"/>
          <w:szCs w:val="24"/>
          <w:lang w:eastAsia="it-IT"/>
        </w:rPr>
        <w:t xml:space="preserve"> la segnalazione venga inoltrata anche a tali soggetti terzi. Anche nei casi di trasmissione della segnalazione all’Autorità giudiziaria, alla Corte dei conti o al Dipartimento della funzione pubblica, questa deve essere effettuata evidenziando che la segnalazione proviene da un soggetto particolarmente tutelato, quanto a riservatezza dell’identità.</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Cs/>
          <w:iCs/>
          <w:sz w:val="24"/>
          <w:szCs w:val="24"/>
          <w:lang w:eastAsia="it-IT"/>
        </w:rPr>
        <w:tab/>
        <w:t xml:space="preserve">Tale misura è già stata attuata mediante l’avvenuta attivazione nel 2014 di un apposito indirizzo di posta elettronica attraverso il quale è possibile segnalare, da parte dei dipendenti, </w:t>
      </w:r>
      <w:r w:rsidRPr="007D1DFE">
        <w:rPr>
          <w:rFonts w:ascii="Times New Roman" w:eastAsia="Times New Roman" w:hAnsi="Times New Roman" w:cs="Times New Roman"/>
          <w:bCs/>
          <w:iCs/>
          <w:sz w:val="24"/>
          <w:szCs w:val="24"/>
          <w:lang w:eastAsia="it-IT"/>
        </w:rPr>
        <w:lastRenderedPageBreak/>
        <w:t xml:space="preserve">condotte illecite relative all’attività dell’Amministrazione. </w:t>
      </w:r>
      <w:r w:rsidRPr="007D1DFE">
        <w:rPr>
          <w:rFonts w:ascii="Times New Roman" w:eastAsia="Times New Roman" w:hAnsi="Times New Roman" w:cs="Times New Roman"/>
          <w:sz w:val="24"/>
          <w:szCs w:val="24"/>
          <w:lang w:eastAsia="it-IT"/>
        </w:rPr>
        <w:t xml:space="preserve">Il relativo documento esplicativo è  pubblicato sull’intranet del Consiglio regionale </w:t>
      </w:r>
      <w:r w:rsidRPr="007D1DFE">
        <w:rPr>
          <w:rFonts w:ascii="Times New Roman" w:eastAsia="Times New Roman" w:hAnsi="Times New Roman" w:cs="Times New Roman"/>
          <w:sz w:val="24"/>
          <w:szCs w:val="24"/>
          <w:vertAlign w:val="superscript"/>
          <w:lang w:eastAsia="it-IT"/>
        </w:rPr>
        <w:footnoteReference w:id="40"/>
      </w:r>
      <w:r w:rsidRPr="007D1DFE">
        <w:rPr>
          <w:rFonts w:ascii="Times New Roman" w:eastAsia="Times New Roman" w:hAnsi="Times New Roman" w:cs="Times New Roman"/>
          <w:sz w:val="24"/>
          <w:szCs w:val="24"/>
          <w:lang w:eastAsia="it-IT"/>
        </w:rPr>
        <w:t>.</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shd w:val="clear" w:color="auto" w:fill="F9F9F9"/>
          <w:lang w:eastAsia="it-IT"/>
        </w:rPr>
      </w:pPr>
      <w:r w:rsidRPr="007D1DFE">
        <w:rPr>
          <w:rFonts w:ascii="Verdana" w:eastAsia="Times New Roman" w:hAnsi="Verdana" w:cs="Times New Roman"/>
          <w:sz w:val="19"/>
          <w:szCs w:val="19"/>
          <w:shd w:val="clear" w:color="auto" w:fill="F9F9F9"/>
          <w:lang w:eastAsia="it-IT"/>
        </w:rPr>
        <w:tab/>
      </w:r>
      <w:r w:rsidRPr="007D1DFE">
        <w:rPr>
          <w:rFonts w:ascii="Times New Roman" w:eastAsia="Times New Roman" w:hAnsi="Times New Roman" w:cs="Times New Roman"/>
          <w:sz w:val="24"/>
          <w:szCs w:val="24"/>
          <w:lang w:eastAsia="it-IT"/>
        </w:rPr>
        <w:t>Si evidenzia</w:t>
      </w:r>
      <w:r w:rsidR="005E6566" w:rsidRPr="007D1DFE">
        <w:rPr>
          <w:rFonts w:ascii="Times New Roman" w:eastAsia="Times New Roman" w:hAnsi="Times New Roman" w:cs="Times New Roman"/>
          <w:sz w:val="24"/>
          <w:szCs w:val="24"/>
          <w:lang w:eastAsia="it-IT"/>
        </w:rPr>
        <w:t xml:space="preserve">, poi, </w:t>
      </w:r>
      <w:r w:rsidRPr="007D1DFE">
        <w:rPr>
          <w:rFonts w:ascii="Times New Roman" w:eastAsia="Times New Roman" w:hAnsi="Times New Roman" w:cs="Times New Roman"/>
          <w:sz w:val="24"/>
          <w:szCs w:val="24"/>
          <w:lang w:eastAsia="it-IT"/>
        </w:rPr>
        <w:t xml:space="preserve">che a seguito della modifica del suddetto art. 54bis del d.lgs. 165/2001 e ss.mm. operata dal decreto legge 24 giugno 2014, n. 90 </w:t>
      </w:r>
      <w:r w:rsidRPr="007D1DFE">
        <w:rPr>
          <w:rFonts w:ascii="Times New Roman" w:eastAsia="Times New Roman" w:hAnsi="Times New Roman" w:cs="Times New Roman"/>
          <w:sz w:val="24"/>
          <w:szCs w:val="24"/>
          <w:vertAlign w:val="superscript"/>
          <w:lang w:eastAsia="it-IT"/>
        </w:rPr>
        <w:footnoteReference w:id="41"/>
      </w:r>
      <w:r w:rsidRPr="007D1DFE">
        <w:rPr>
          <w:rFonts w:ascii="Times New Roman" w:eastAsia="Times New Roman" w:hAnsi="Times New Roman" w:cs="Times New Roman"/>
          <w:sz w:val="24"/>
          <w:szCs w:val="24"/>
          <w:lang w:eastAsia="it-IT"/>
        </w:rPr>
        <w:t>, le segnalazioni in argomento</w:t>
      </w:r>
      <w:r w:rsidRPr="007D1DFE">
        <w:rPr>
          <w:rFonts w:ascii="Times New Roman" w:eastAsia="Times New Roman" w:hAnsi="Times New Roman" w:cs="Times New Roman"/>
          <w:sz w:val="24"/>
          <w:szCs w:val="24"/>
          <w:shd w:val="clear" w:color="auto" w:fill="F9F9F9"/>
          <w:lang w:eastAsia="it-IT"/>
        </w:rPr>
        <w:t xml:space="preserve"> possono essere inoltrate da parte dei dipendenti pubblici anche direttamente all’ANAC. </w:t>
      </w:r>
      <w:r w:rsidR="00162BD3" w:rsidRPr="007D1DFE">
        <w:rPr>
          <w:rFonts w:ascii="Times New Roman" w:eastAsia="Times New Roman" w:hAnsi="Times New Roman" w:cs="Times New Roman"/>
          <w:sz w:val="24"/>
          <w:szCs w:val="24"/>
          <w:shd w:val="clear" w:color="auto" w:fill="F9F9F9"/>
          <w:lang w:eastAsia="it-IT"/>
        </w:rPr>
        <w:t xml:space="preserve">A tal fine l’Autorità ha messo a disposizione un apposito applicativo sul proprio sito istituzionale all’indirizzo </w:t>
      </w:r>
    </w:p>
    <w:p w:rsidR="00162BD3" w:rsidRPr="007D1DFE" w:rsidRDefault="007314DD"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shd w:val="clear" w:color="auto" w:fill="F9F9F9"/>
          <w:lang w:eastAsia="it-IT"/>
        </w:rPr>
      </w:pPr>
      <w:hyperlink r:id="rId8" w:history="1">
        <w:r w:rsidR="00162BD3" w:rsidRPr="007D1DFE">
          <w:rPr>
            <w:rStyle w:val="Collegamentoipertestuale"/>
            <w:rFonts w:ascii="Times New Roman" w:eastAsia="Times New Roman" w:hAnsi="Times New Roman" w:cs="Times New Roman"/>
            <w:sz w:val="24"/>
            <w:szCs w:val="24"/>
            <w:shd w:val="clear" w:color="auto" w:fill="F9F9F9"/>
            <w:lang w:eastAsia="it-IT"/>
          </w:rPr>
          <w:t>http://www.anticorruzione.it/portal/public/classic/Servizi/ServiziOnline/SegnalazioneWhistleblowing</w:t>
        </w:r>
      </w:hyperlink>
    </w:p>
    <w:p w:rsidR="00162BD3" w:rsidRPr="007D1DFE" w:rsidRDefault="00162BD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shd w:val="clear" w:color="auto" w:fill="F9F9F9"/>
          <w:lang w:eastAsia="it-IT"/>
        </w:rPr>
      </w:pPr>
    </w:p>
    <w:p w:rsidR="003518D4" w:rsidRPr="007D1DFE" w:rsidRDefault="00900DF9"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sz w:val="24"/>
          <w:szCs w:val="24"/>
          <w:shd w:val="clear" w:color="auto" w:fill="F9F9F9"/>
          <w:lang w:eastAsia="it-IT"/>
        </w:rPr>
        <w:tab/>
      </w:r>
      <w:r w:rsidR="00F57CC4" w:rsidRPr="007D1DFE">
        <w:rPr>
          <w:rFonts w:ascii="Times New Roman" w:eastAsia="Times New Roman" w:hAnsi="Times New Roman" w:cs="Times New Roman"/>
          <w:sz w:val="24"/>
          <w:szCs w:val="24"/>
          <w:shd w:val="clear" w:color="auto" w:fill="F9F9F9"/>
          <w:lang w:eastAsia="it-IT"/>
        </w:rPr>
        <w:t>Come già anticipato al paragrafo 1.</w:t>
      </w:r>
      <w:r w:rsidR="00AB4234" w:rsidRPr="007D1DFE">
        <w:rPr>
          <w:rFonts w:ascii="Times New Roman" w:eastAsia="Times New Roman" w:hAnsi="Times New Roman" w:cs="Times New Roman"/>
          <w:sz w:val="24"/>
          <w:szCs w:val="24"/>
          <w:shd w:val="clear" w:color="auto" w:fill="F9F9F9"/>
          <w:lang w:eastAsia="it-IT"/>
        </w:rPr>
        <w:t>1</w:t>
      </w:r>
      <w:r w:rsidR="00F57CC4" w:rsidRPr="007D1DFE">
        <w:rPr>
          <w:rFonts w:ascii="Times New Roman" w:eastAsia="Times New Roman" w:hAnsi="Times New Roman" w:cs="Times New Roman"/>
          <w:sz w:val="24"/>
          <w:szCs w:val="24"/>
          <w:shd w:val="clear" w:color="auto" w:fill="F9F9F9"/>
          <w:lang w:eastAsia="it-IT"/>
        </w:rPr>
        <w:t>, si</w:t>
      </w:r>
      <w:r w:rsidRPr="007D1DFE">
        <w:rPr>
          <w:rFonts w:ascii="Times New Roman" w:eastAsia="Times New Roman" w:hAnsi="Times New Roman" w:cs="Times New Roman"/>
          <w:sz w:val="24"/>
          <w:szCs w:val="24"/>
          <w:shd w:val="clear" w:color="auto" w:fill="F9F9F9"/>
          <w:lang w:eastAsia="it-IT"/>
        </w:rPr>
        <w:t xml:space="preserve"> segnala</w:t>
      </w:r>
      <w:r w:rsidR="00162BD3" w:rsidRPr="007D1DFE">
        <w:rPr>
          <w:rFonts w:ascii="Times New Roman" w:eastAsia="Times New Roman" w:hAnsi="Times New Roman" w:cs="Times New Roman"/>
          <w:sz w:val="24"/>
          <w:szCs w:val="24"/>
          <w:shd w:val="clear" w:color="auto" w:fill="F9F9F9"/>
          <w:lang w:eastAsia="it-IT"/>
        </w:rPr>
        <w:t xml:space="preserve"> la</w:t>
      </w:r>
      <w:r w:rsidR="00F57CC4" w:rsidRPr="007D1DFE">
        <w:rPr>
          <w:rFonts w:ascii="Times New Roman" w:eastAsia="Times New Roman" w:hAnsi="Times New Roman" w:cs="Times New Roman"/>
          <w:sz w:val="24"/>
          <w:szCs w:val="24"/>
          <w:shd w:val="clear" w:color="auto" w:fill="F9F9F9"/>
          <w:lang w:eastAsia="it-IT"/>
        </w:rPr>
        <w:t xml:space="preserve"> approvazione della legge 30 novembre 2017, n. 179 (</w:t>
      </w:r>
      <w:r w:rsidR="00F57CC4" w:rsidRPr="007D1DFE">
        <w:rPr>
          <w:rFonts w:ascii="Times New Roman" w:eastAsia="Times New Roman" w:hAnsi="Times New Roman" w:cs="Times New Roman"/>
          <w:i/>
          <w:sz w:val="24"/>
          <w:szCs w:val="24"/>
          <w:shd w:val="clear" w:color="auto" w:fill="F9F9F9"/>
          <w:lang w:eastAsia="it-IT"/>
        </w:rPr>
        <w:t>Disposizioni per la tutela degli autori di segnalazioni di reati o irregolarità di cui siano venuti a conoscenza nell'ambito di un rapporto di lavoro pubblico o privato</w:t>
      </w:r>
      <w:r w:rsidR="00F57CC4" w:rsidRPr="007D1DFE">
        <w:rPr>
          <w:rFonts w:ascii="Times New Roman" w:eastAsia="Times New Roman" w:hAnsi="Times New Roman" w:cs="Times New Roman"/>
          <w:sz w:val="24"/>
          <w:szCs w:val="24"/>
          <w:shd w:val="clear" w:color="auto" w:fill="F9F9F9"/>
          <w:lang w:eastAsia="it-IT"/>
        </w:rPr>
        <w:t xml:space="preserve">) </w:t>
      </w:r>
      <w:r w:rsidR="003518D4" w:rsidRPr="007D1DFE">
        <w:rPr>
          <w:rFonts w:ascii="Times New Roman" w:eastAsia="Times New Roman" w:hAnsi="Times New Roman" w:cs="Times New Roman"/>
          <w:bCs/>
          <w:iCs/>
          <w:sz w:val="24"/>
          <w:szCs w:val="24"/>
          <w:lang w:eastAsia="it-IT"/>
        </w:rPr>
        <w:t xml:space="preserve">che </w:t>
      </w:r>
      <w:r w:rsidRPr="007D1DFE">
        <w:rPr>
          <w:rFonts w:ascii="Times New Roman" w:eastAsia="Times New Roman" w:hAnsi="Times New Roman" w:cs="Times New Roman"/>
          <w:bCs/>
          <w:iCs/>
          <w:sz w:val="24"/>
          <w:szCs w:val="24"/>
          <w:lang w:eastAsia="it-IT"/>
        </w:rPr>
        <w:t xml:space="preserve">estende anche al settore privato l’istituto del </w:t>
      </w:r>
      <w:proofErr w:type="spellStart"/>
      <w:r w:rsidR="003518D4" w:rsidRPr="007D1DFE">
        <w:rPr>
          <w:rFonts w:ascii="Times New Roman" w:eastAsia="Times New Roman" w:hAnsi="Times New Roman" w:cs="Times New Roman"/>
          <w:bCs/>
          <w:iCs/>
          <w:sz w:val="24"/>
          <w:szCs w:val="24"/>
          <w:lang w:eastAsia="it-IT"/>
        </w:rPr>
        <w:t>whistleblowing</w:t>
      </w:r>
      <w:proofErr w:type="spellEnd"/>
      <w:r w:rsidRPr="007D1DFE">
        <w:rPr>
          <w:rFonts w:ascii="Times New Roman" w:eastAsia="Times New Roman" w:hAnsi="Times New Roman" w:cs="Times New Roman"/>
          <w:bCs/>
          <w:iCs/>
          <w:sz w:val="24"/>
          <w:szCs w:val="24"/>
          <w:lang w:eastAsia="it-IT"/>
        </w:rPr>
        <w:t>.</w:t>
      </w:r>
    </w:p>
    <w:p w:rsidR="00900DF9" w:rsidRPr="007D1DFE" w:rsidRDefault="00900DF9"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t xml:space="preserve">L’art. 1 della legge riguarda le pubbliche amministrazioni e modifica la precedente disciplina </w:t>
      </w:r>
      <w:r w:rsidR="00F802BF" w:rsidRPr="007D1DFE">
        <w:rPr>
          <w:rFonts w:ascii="Times New Roman" w:eastAsia="Times New Roman" w:hAnsi="Times New Roman" w:cs="Times New Roman"/>
          <w:bCs/>
          <w:iCs/>
          <w:sz w:val="24"/>
          <w:szCs w:val="24"/>
          <w:lang w:eastAsia="it-IT"/>
        </w:rPr>
        <w:t xml:space="preserve">presente nell’articolo 54-bis del </w:t>
      </w:r>
      <w:proofErr w:type="spellStart"/>
      <w:r w:rsidR="00F802BF" w:rsidRPr="007D1DFE">
        <w:rPr>
          <w:rFonts w:ascii="Times New Roman" w:eastAsia="Times New Roman" w:hAnsi="Times New Roman" w:cs="Times New Roman"/>
          <w:bCs/>
          <w:iCs/>
          <w:sz w:val="24"/>
          <w:szCs w:val="24"/>
          <w:lang w:eastAsia="it-IT"/>
        </w:rPr>
        <w:t>d.lgs</w:t>
      </w:r>
      <w:proofErr w:type="spellEnd"/>
      <w:r w:rsidR="00F802BF" w:rsidRPr="007D1DFE">
        <w:rPr>
          <w:rFonts w:ascii="Times New Roman" w:eastAsia="Times New Roman" w:hAnsi="Times New Roman" w:cs="Times New Roman"/>
          <w:bCs/>
          <w:iCs/>
          <w:sz w:val="24"/>
          <w:szCs w:val="24"/>
          <w:lang w:eastAsia="it-IT"/>
        </w:rPr>
        <w:t xml:space="preserve"> n. 165 del 2001).</w:t>
      </w:r>
    </w:p>
    <w:p w:rsidR="00D4200F" w:rsidRPr="007D1DFE" w:rsidRDefault="00F802BF" w:rsidP="007D1DFE">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t>In virtù di tale novella legislativa eventuali misure ritorsive nei confronti del</w:t>
      </w:r>
      <w:r w:rsidR="00481AC9" w:rsidRPr="007D1DFE">
        <w:rPr>
          <w:rFonts w:ascii="Times New Roman" w:eastAsia="Times New Roman" w:hAnsi="Times New Roman" w:cs="Times New Roman"/>
          <w:bCs/>
          <w:iCs/>
          <w:sz w:val="24"/>
          <w:szCs w:val="24"/>
          <w:lang w:eastAsia="it-IT"/>
        </w:rPr>
        <w:t xml:space="preserve"> segnalante</w:t>
      </w:r>
      <w:r w:rsidR="00E85080" w:rsidRPr="007D1DFE">
        <w:rPr>
          <w:rFonts w:ascii="Times New Roman" w:eastAsia="Times New Roman" w:hAnsi="Times New Roman" w:cs="Times New Roman"/>
          <w:bCs/>
          <w:iCs/>
          <w:sz w:val="24"/>
          <w:szCs w:val="24"/>
          <w:lang w:eastAsia="it-IT"/>
        </w:rPr>
        <w:t xml:space="preserve"> </w:t>
      </w:r>
      <w:r w:rsidRPr="007D1DFE">
        <w:rPr>
          <w:rFonts w:ascii="Times New Roman" w:eastAsia="Times New Roman" w:hAnsi="Times New Roman" w:cs="Times New Roman"/>
          <w:bCs/>
          <w:iCs/>
          <w:sz w:val="24"/>
          <w:szCs w:val="24"/>
          <w:lang w:eastAsia="it-IT"/>
        </w:rPr>
        <w:t>sono comunicate dall'interessato o dalle organizzazioni sindacali</w:t>
      </w:r>
      <w:r w:rsidR="00E85080" w:rsidRPr="007D1DFE">
        <w:rPr>
          <w:rFonts w:ascii="Times New Roman" w:eastAsia="Times New Roman" w:hAnsi="Times New Roman" w:cs="Times New Roman"/>
          <w:bCs/>
          <w:iCs/>
          <w:sz w:val="24"/>
          <w:szCs w:val="24"/>
          <w:lang w:eastAsia="it-IT"/>
        </w:rPr>
        <w:t xml:space="preserve"> all'ANAC, che provvede a</w:t>
      </w:r>
      <w:r w:rsidRPr="007D1DFE">
        <w:rPr>
          <w:rFonts w:ascii="Times New Roman" w:eastAsia="Times New Roman" w:hAnsi="Times New Roman" w:cs="Times New Roman"/>
          <w:bCs/>
          <w:iCs/>
          <w:sz w:val="24"/>
          <w:szCs w:val="24"/>
          <w:lang w:eastAsia="it-IT"/>
        </w:rPr>
        <w:t xml:space="preserve"> sua</w:t>
      </w:r>
      <w:r w:rsidR="00E85080" w:rsidRPr="007D1DFE">
        <w:rPr>
          <w:rFonts w:ascii="Times New Roman" w:eastAsia="Times New Roman" w:hAnsi="Times New Roman" w:cs="Times New Roman"/>
          <w:bCs/>
          <w:iCs/>
          <w:sz w:val="24"/>
          <w:szCs w:val="24"/>
          <w:lang w:eastAsia="it-IT"/>
        </w:rPr>
        <w:t xml:space="preserve"> </w:t>
      </w:r>
      <w:r w:rsidRPr="007D1DFE">
        <w:rPr>
          <w:rFonts w:ascii="Times New Roman" w:eastAsia="Times New Roman" w:hAnsi="Times New Roman" w:cs="Times New Roman"/>
          <w:bCs/>
          <w:iCs/>
          <w:sz w:val="24"/>
          <w:szCs w:val="24"/>
          <w:lang w:eastAsia="it-IT"/>
        </w:rPr>
        <w:t xml:space="preserve">volta </w:t>
      </w:r>
      <w:r w:rsidR="00E85080" w:rsidRPr="007D1DFE">
        <w:rPr>
          <w:rFonts w:ascii="Times New Roman" w:eastAsia="Times New Roman" w:hAnsi="Times New Roman" w:cs="Times New Roman"/>
          <w:bCs/>
          <w:iCs/>
          <w:sz w:val="24"/>
          <w:szCs w:val="24"/>
          <w:lang w:eastAsia="it-IT"/>
        </w:rPr>
        <w:t>a</w:t>
      </w:r>
      <w:r w:rsidRPr="007D1DFE">
        <w:rPr>
          <w:rFonts w:ascii="Times New Roman" w:eastAsia="Times New Roman" w:hAnsi="Times New Roman" w:cs="Times New Roman"/>
          <w:bCs/>
          <w:iCs/>
          <w:sz w:val="24"/>
          <w:szCs w:val="24"/>
          <w:lang w:eastAsia="it-IT"/>
        </w:rPr>
        <w:t xml:space="preserve">d informare il Dipartimento della funzione pubblica o gli altri </w:t>
      </w:r>
      <w:r w:rsidR="00E85080" w:rsidRPr="007D1DFE">
        <w:rPr>
          <w:rFonts w:ascii="Times New Roman" w:eastAsia="Times New Roman" w:hAnsi="Times New Roman" w:cs="Times New Roman"/>
          <w:bCs/>
          <w:iCs/>
          <w:sz w:val="24"/>
          <w:szCs w:val="24"/>
          <w:lang w:eastAsia="it-IT"/>
        </w:rPr>
        <w:t>o</w:t>
      </w:r>
      <w:r w:rsidRPr="007D1DFE">
        <w:rPr>
          <w:rFonts w:ascii="Times New Roman" w:eastAsia="Times New Roman" w:hAnsi="Times New Roman" w:cs="Times New Roman"/>
          <w:bCs/>
          <w:iCs/>
          <w:sz w:val="24"/>
          <w:szCs w:val="24"/>
          <w:lang w:eastAsia="it-IT"/>
        </w:rPr>
        <w:t>rganismi di garanzia o di disciplina per i provvedimenti di competenza.</w:t>
      </w:r>
      <w:r w:rsidRPr="007D1DFE">
        <w:rPr>
          <w:rFonts w:ascii="Times New Roman" w:eastAsia="Times New Roman" w:hAnsi="Times New Roman" w:cs="Times New Roman"/>
          <w:bCs/>
          <w:iCs/>
          <w:sz w:val="24"/>
          <w:szCs w:val="24"/>
          <w:lang w:eastAsia="it-IT"/>
        </w:rPr>
        <w:cr/>
      </w:r>
      <w:r w:rsidR="00481AC9" w:rsidRPr="007D1DFE">
        <w:rPr>
          <w:rFonts w:ascii="Times New Roman" w:eastAsia="Times New Roman" w:hAnsi="Times New Roman" w:cs="Times New Roman"/>
          <w:bCs/>
          <w:iCs/>
          <w:sz w:val="24"/>
          <w:szCs w:val="24"/>
          <w:lang w:eastAsia="it-IT"/>
        </w:rPr>
        <w:tab/>
      </w:r>
      <w:r w:rsidR="00D4200F" w:rsidRPr="007D1DFE">
        <w:rPr>
          <w:rFonts w:ascii="Times New Roman" w:eastAsia="Times New Roman" w:hAnsi="Times New Roman" w:cs="Times New Roman"/>
          <w:bCs/>
          <w:iCs/>
          <w:sz w:val="24"/>
          <w:szCs w:val="24"/>
          <w:lang w:eastAsia="it-IT"/>
        </w:rPr>
        <w:t xml:space="preserve">Sono previste consistenti sanzioni amministrative nei confronti dei responsabili degli atti discriminatori, ed è a carico della </w:t>
      </w:r>
      <w:r w:rsidR="00A458E0" w:rsidRPr="007D1DFE">
        <w:rPr>
          <w:rFonts w:ascii="Times New Roman" w:eastAsia="Times New Roman" w:hAnsi="Times New Roman" w:cs="Times New Roman"/>
          <w:bCs/>
          <w:iCs/>
          <w:sz w:val="24"/>
          <w:szCs w:val="24"/>
          <w:lang w:eastAsia="it-IT"/>
        </w:rPr>
        <w:t>PA</w:t>
      </w:r>
      <w:r w:rsidR="00D4200F" w:rsidRPr="007D1DFE">
        <w:rPr>
          <w:rFonts w:ascii="Times New Roman" w:eastAsia="Times New Roman" w:hAnsi="Times New Roman" w:cs="Times New Roman"/>
          <w:bCs/>
          <w:iCs/>
          <w:sz w:val="24"/>
          <w:szCs w:val="24"/>
          <w:lang w:eastAsia="it-IT"/>
        </w:rPr>
        <w:t xml:space="preserve"> dimostrare che le misure in questione non siano da ricondursi alla segnalazione effettuata dal dipendente. </w:t>
      </w:r>
    </w:p>
    <w:p w:rsidR="003518D4" w:rsidRPr="007D1DFE" w:rsidRDefault="00B93668"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r>
      <w:r w:rsidR="00481AC9" w:rsidRPr="007D1DFE">
        <w:rPr>
          <w:rFonts w:ascii="Times New Roman" w:eastAsia="Times New Roman" w:hAnsi="Times New Roman" w:cs="Times New Roman"/>
          <w:bCs/>
          <w:iCs/>
          <w:sz w:val="24"/>
          <w:szCs w:val="24"/>
          <w:lang w:eastAsia="it-IT"/>
        </w:rPr>
        <w:t xml:space="preserve">In sostanza, la riforma dell’istituto accorda ancora maggiori </w:t>
      </w:r>
      <w:r w:rsidR="00073D5D" w:rsidRPr="007D1DFE">
        <w:rPr>
          <w:rFonts w:ascii="Times New Roman" w:eastAsia="Times New Roman" w:hAnsi="Times New Roman" w:cs="Times New Roman"/>
          <w:bCs/>
          <w:iCs/>
          <w:sz w:val="24"/>
          <w:szCs w:val="24"/>
          <w:lang w:eastAsia="it-IT"/>
        </w:rPr>
        <w:t xml:space="preserve">protezioni </w:t>
      </w:r>
      <w:r w:rsidR="00481AC9" w:rsidRPr="007D1DFE">
        <w:rPr>
          <w:rFonts w:ascii="Times New Roman" w:eastAsia="Times New Roman" w:hAnsi="Times New Roman" w:cs="Times New Roman"/>
          <w:bCs/>
          <w:iCs/>
          <w:sz w:val="24"/>
          <w:szCs w:val="24"/>
          <w:lang w:eastAsia="it-IT"/>
        </w:rPr>
        <w:t xml:space="preserve">al </w:t>
      </w:r>
      <w:proofErr w:type="spellStart"/>
      <w:r w:rsidR="00481AC9" w:rsidRPr="007D1DFE">
        <w:rPr>
          <w:rFonts w:ascii="Times New Roman" w:eastAsia="Times New Roman" w:hAnsi="Times New Roman" w:cs="Times New Roman"/>
          <w:bCs/>
          <w:iCs/>
          <w:sz w:val="24"/>
          <w:szCs w:val="24"/>
          <w:lang w:eastAsia="it-IT"/>
        </w:rPr>
        <w:t>whistleblower</w:t>
      </w:r>
      <w:proofErr w:type="spellEnd"/>
      <w:r w:rsidR="00481AC9" w:rsidRPr="007D1DFE">
        <w:rPr>
          <w:rFonts w:ascii="Times New Roman" w:eastAsia="Times New Roman" w:hAnsi="Times New Roman" w:cs="Times New Roman"/>
          <w:bCs/>
          <w:iCs/>
          <w:sz w:val="24"/>
          <w:szCs w:val="24"/>
          <w:lang w:eastAsia="it-IT"/>
        </w:rPr>
        <w:t xml:space="preserve"> contro le ritorsioni riconducibili alla segnalazione: il segnalante non può essere sanzionato, </w:t>
      </w:r>
      <w:proofErr w:type="spellStart"/>
      <w:r w:rsidR="00481AC9" w:rsidRPr="007D1DFE">
        <w:rPr>
          <w:rFonts w:ascii="Times New Roman" w:eastAsia="Times New Roman" w:hAnsi="Times New Roman" w:cs="Times New Roman"/>
          <w:bCs/>
          <w:iCs/>
          <w:sz w:val="24"/>
          <w:szCs w:val="24"/>
          <w:lang w:eastAsia="it-IT"/>
        </w:rPr>
        <w:t>demansionato</w:t>
      </w:r>
      <w:proofErr w:type="spellEnd"/>
      <w:r w:rsidR="00481AC9" w:rsidRPr="007D1DFE">
        <w:rPr>
          <w:rFonts w:ascii="Times New Roman" w:eastAsia="Times New Roman" w:hAnsi="Times New Roman" w:cs="Times New Roman"/>
          <w:bCs/>
          <w:iCs/>
          <w:sz w:val="24"/>
          <w:szCs w:val="24"/>
          <w:lang w:eastAsia="it-IT"/>
        </w:rPr>
        <w:t xml:space="preserve">, licenziato, trasferito o sottoposto ad altra misura organizzativa avente effetti negativi, diretti o indiretti, sulle condizioni di lavoro. </w:t>
      </w:r>
      <w:r w:rsidR="003518D4" w:rsidRPr="007D1DFE">
        <w:rPr>
          <w:rFonts w:ascii="Times New Roman" w:eastAsia="Times New Roman" w:hAnsi="Times New Roman" w:cs="Times New Roman"/>
          <w:bCs/>
          <w:iCs/>
          <w:sz w:val="24"/>
          <w:szCs w:val="24"/>
          <w:lang w:eastAsia="it-IT"/>
        </w:rPr>
        <w:t>Il segnalante licenziato ha diritto a</w:t>
      </w:r>
      <w:r w:rsidRPr="007D1DFE">
        <w:rPr>
          <w:rFonts w:ascii="Times New Roman" w:eastAsia="Times New Roman" w:hAnsi="Times New Roman" w:cs="Times New Roman"/>
          <w:bCs/>
          <w:iCs/>
          <w:sz w:val="24"/>
          <w:szCs w:val="24"/>
          <w:lang w:eastAsia="it-IT"/>
        </w:rPr>
        <w:t xml:space="preserve">d essere </w:t>
      </w:r>
      <w:r w:rsidR="003518D4" w:rsidRPr="007D1DFE">
        <w:rPr>
          <w:rFonts w:ascii="Times New Roman" w:eastAsia="Times New Roman" w:hAnsi="Times New Roman" w:cs="Times New Roman"/>
          <w:bCs/>
          <w:iCs/>
          <w:sz w:val="24"/>
          <w:szCs w:val="24"/>
          <w:lang w:eastAsia="it-IT"/>
        </w:rPr>
        <w:t>reintegra</w:t>
      </w:r>
      <w:r w:rsidRPr="007D1DFE">
        <w:rPr>
          <w:rFonts w:ascii="Times New Roman" w:eastAsia="Times New Roman" w:hAnsi="Times New Roman" w:cs="Times New Roman"/>
          <w:bCs/>
          <w:iCs/>
          <w:sz w:val="24"/>
          <w:szCs w:val="24"/>
          <w:lang w:eastAsia="it-IT"/>
        </w:rPr>
        <w:t>to</w:t>
      </w:r>
      <w:r w:rsidR="003518D4" w:rsidRPr="007D1DFE">
        <w:rPr>
          <w:rFonts w:ascii="Times New Roman" w:eastAsia="Times New Roman" w:hAnsi="Times New Roman" w:cs="Times New Roman"/>
          <w:bCs/>
          <w:iCs/>
          <w:sz w:val="24"/>
          <w:szCs w:val="24"/>
          <w:lang w:eastAsia="it-IT"/>
        </w:rPr>
        <w:t xml:space="preserve"> nel posto di lavoro e al risarcimento del danno. Le tutele </w:t>
      </w:r>
      <w:r w:rsidRPr="007D1DFE">
        <w:rPr>
          <w:rFonts w:ascii="Times New Roman" w:eastAsia="Times New Roman" w:hAnsi="Times New Roman" w:cs="Times New Roman"/>
          <w:bCs/>
          <w:iCs/>
          <w:sz w:val="24"/>
          <w:szCs w:val="24"/>
          <w:lang w:eastAsia="it-IT"/>
        </w:rPr>
        <w:t>sono escluse ove</w:t>
      </w:r>
      <w:r w:rsidR="003518D4" w:rsidRPr="007D1DFE">
        <w:rPr>
          <w:rFonts w:ascii="Times New Roman" w:eastAsia="Times New Roman" w:hAnsi="Times New Roman" w:cs="Times New Roman"/>
          <w:bCs/>
          <w:iCs/>
          <w:sz w:val="24"/>
          <w:szCs w:val="24"/>
          <w:lang w:eastAsia="it-IT"/>
        </w:rPr>
        <w:t xml:space="preserve">, anche con sentenza di primo grado, </w:t>
      </w:r>
      <w:r w:rsidRPr="007D1DFE">
        <w:rPr>
          <w:rFonts w:ascii="Times New Roman" w:eastAsia="Times New Roman" w:hAnsi="Times New Roman" w:cs="Times New Roman"/>
          <w:bCs/>
          <w:iCs/>
          <w:sz w:val="24"/>
          <w:szCs w:val="24"/>
          <w:lang w:eastAsia="it-IT"/>
        </w:rPr>
        <w:t>sia</w:t>
      </w:r>
      <w:r w:rsidR="003518D4" w:rsidRPr="007D1DFE">
        <w:rPr>
          <w:rFonts w:ascii="Times New Roman" w:eastAsia="Times New Roman" w:hAnsi="Times New Roman" w:cs="Times New Roman"/>
          <w:bCs/>
          <w:iCs/>
          <w:sz w:val="24"/>
          <w:szCs w:val="24"/>
          <w:lang w:eastAsia="it-IT"/>
        </w:rPr>
        <w:t xml:space="preserve"> accertata la responsabilità penale del segnalante per i reati di calunnia o diffamazione</w:t>
      </w:r>
      <w:r w:rsidRPr="007D1DFE">
        <w:rPr>
          <w:rFonts w:ascii="Times New Roman" w:eastAsia="Times New Roman" w:hAnsi="Times New Roman" w:cs="Times New Roman"/>
          <w:bCs/>
          <w:iCs/>
          <w:sz w:val="24"/>
          <w:szCs w:val="24"/>
          <w:lang w:eastAsia="it-IT"/>
        </w:rPr>
        <w:t>.</w:t>
      </w:r>
    </w:p>
    <w:p w:rsidR="00481AC9" w:rsidRPr="007D1DFE" w:rsidRDefault="00481AC9"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t>La tutela in questione, originariamente accordata al solo dipendente pubblico, viene ad essere estesa anche al lavoratore o collaboratore di imprese fornitrici di beni e servizi.</w:t>
      </w:r>
    </w:p>
    <w:p w:rsidR="003518D4" w:rsidRPr="007D1DFE" w:rsidRDefault="00B6568C"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Cs/>
          <w:iCs/>
          <w:sz w:val="24"/>
          <w:szCs w:val="24"/>
          <w:lang w:eastAsia="it-IT"/>
        </w:rPr>
        <w:tab/>
        <w:t xml:space="preserve">E’ utile evidenziare che nel corso dell’anno 2018 l’ANAC ha </w:t>
      </w:r>
      <w:r w:rsidR="00162BD3" w:rsidRPr="007D1DFE">
        <w:rPr>
          <w:rFonts w:ascii="Times New Roman" w:eastAsia="Times New Roman" w:hAnsi="Times New Roman" w:cs="Times New Roman"/>
          <w:bCs/>
          <w:iCs/>
          <w:sz w:val="24"/>
          <w:szCs w:val="24"/>
          <w:lang w:eastAsia="it-IT"/>
        </w:rPr>
        <w:t>messo a disposizione sul proprio sito un apposito applicativo</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iCs/>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r w:rsidRPr="007D1DFE">
        <w:rPr>
          <w:rFonts w:ascii="Times New Roman" w:eastAsia="Times New Roman" w:hAnsi="Times New Roman" w:cs="Times New Roman"/>
          <w:b/>
          <w:bCs/>
          <w:iCs/>
          <w:sz w:val="24"/>
          <w:szCs w:val="24"/>
          <w:lang w:eastAsia="it-IT"/>
        </w:rPr>
        <w:t>2.6. Ulteriori misure ed iniziative per la prevenzione della corruzione.</w:t>
      </w:r>
      <w:r w:rsidRPr="007D1DFE">
        <w:rPr>
          <w:rFonts w:ascii="Times New Roman" w:eastAsia="Times New Roman" w:hAnsi="Times New Roman" w:cs="Times New Roman"/>
          <w:bCs/>
          <w:iCs/>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iCs/>
          <w:sz w:val="24"/>
          <w:szCs w:val="24"/>
          <w:lang w:eastAsia="it-IT"/>
        </w:rPr>
      </w:pPr>
    </w:p>
    <w:p w:rsidR="009903C3" w:rsidRPr="007D1DFE" w:rsidRDefault="009903C3" w:rsidP="007D1DF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L’individuazione dei componenti le commissioni di concorso per l’assunzione o per la progressione verticale di personale nonché quella dei collaudatori dovrà sempre avvenire tra gli iscritti alle rispettive sezioni dell’albo istituito ai sensi dell’articolo 305 del Regolamento di organizzazione del Consiglio regionale. L’</w:t>
      </w:r>
      <w:r w:rsidR="007314DD">
        <w:rPr>
          <w:rFonts w:ascii="Times New Roman" w:eastAsia="Times New Roman" w:hAnsi="Times New Roman" w:cs="Times New Roman"/>
          <w:sz w:val="24"/>
          <w:szCs w:val="24"/>
          <w:lang w:eastAsia="it-IT"/>
        </w:rPr>
        <w:t xml:space="preserve">iscrizione </w:t>
      </w:r>
      <w:r w:rsidRPr="007D1DFE">
        <w:rPr>
          <w:rFonts w:ascii="Times New Roman" w:eastAsia="Times New Roman" w:hAnsi="Times New Roman" w:cs="Times New Roman"/>
          <w:sz w:val="24"/>
          <w:szCs w:val="24"/>
          <w:lang w:eastAsia="it-IT"/>
        </w:rPr>
        <w:t xml:space="preserve">dei componenti </w:t>
      </w:r>
      <w:r w:rsidR="007314DD" w:rsidRPr="007D1DFE">
        <w:rPr>
          <w:rFonts w:ascii="Times New Roman" w:eastAsia="Times New Roman" w:hAnsi="Times New Roman" w:cs="Times New Roman"/>
          <w:sz w:val="24"/>
          <w:szCs w:val="24"/>
          <w:lang w:eastAsia="it-IT"/>
        </w:rPr>
        <w:t>delle commissioni di concorso nell’albo</w:t>
      </w:r>
      <w:r w:rsidR="007314DD"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dovrà avvenire all’esito di una scrupolosa verifica dei titoli dei candidati che aspirano ad esser</w:t>
      </w:r>
      <w:r w:rsidR="007314DD">
        <w:rPr>
          <w:rFonts w:ascii="Times New Roman" w:eastAsia="Times New Roman" w:hAnsi="Times New Roman" w:cs="Times New Roman"/>
          <w:sz w:val="24"/>
          <w:szCs w:val="24"/>
          <w:lang w:eastAsia="it-IT"/>
        </w:rPr>
        <w:t>vi</w:t>
      </w:r>
      <w:r w:rsidRPr="007D1DFE">
        <w:rPr>
          <w:rFonts w:ascii="Times New Roman" w:eastAsia="Times New Roman" w:hAnsi="Times New Roman" w:cs="Times New Roman"/>
          <w:sz w:val="24"/>
          <w:szCs w:val="24"/>
          <w:lang w:eastAsia="it-IT"/>
        </w:rPr>
        <w:t xml:space="preserve"> i</w:t>
      </w:r>
      <w:bookmarkStart w:id="1" w:name="_GoBack"/>
      <w:bookmarkEnd w:id="1"/>
      <w:r w:rsidRPr="007D1DFE">
        <w:rPr>
          <w:rFonts w:ascii="Times New Roman" w:eastAsia="Times New Roman" w:hAnsi="Times New Roman" w:cs="Times New Roman"/>
          <w:sz w:val="24"/>
          <w:szCs w:val="24"/>
          <w:lang w:eastAsia="it-IT"/>
        </w:rPr>
        <w:t>nseriti.</w:t>
      </w:r>
    </w:p>
    <w:p w:rsidR="009903C3" w:rsidRPr="007D1DFE" w:rsidRDefault="009903C3" w:rsidP="007D1DF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 nominativi dei soggetti relativi al campione sul quale devono essere effettuate le verifiche  di cui all’art. 71 del d.P.R. n. 445/2000 circa la veridicità delle dichiarazioni rese ai sensi dello stesso decreto devono sempre essere individuati a seguito di sorteggio effettuato dalla struttura competente per lo specifico procedimento. La data, l’ora ed il luogo prescelti per l’operazione del sorteggio dovranno essere comunicati da tale struttura al Responsabile per la prevenzione della corruzione con un preavviso di almeno tre giorni. </w:t>
      </w:r>
    </w:p>
    <w:p w:rsidR="009903C3" w:rsidRPr="007D1DFE" w:rsidRDefault="009903C3" w:rsidP="007D1DF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Piena attuazione del principio di rotazione dei componenti le commissioni di gara per gli affidamenti di lavori, servizi e forniture. </w:t>
      </w:r>
    </w:p>
    <w:p w:rsidR="009903C3" w:rsidRPr="007D1DFE" w:rsidRDefault="009903C3" w:rsidP="007D1DFE">
      <w:pPr>
        <w:widowControl w:val="0"/>
        <w:numPr>
          <w:ilvl w:val="0"/>
          <w:numId w:val="10"/>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Tutti i dipendenti sono tenuti a prestare particolare attenzione e cura alla gestione del contenzioso, correlato ad attività riferibili a competenze loro attribuite o delegate, che dovesse coinvolgere, a qualsiasi titolo, il Consiglio regionale.</w:t>
      </w:r>
    </w:p>
    <w:p w:rsidR="009903C3" w:rsidRPr="007D1DFE" w:rsidRDefault="009903C3" w:rsidP="007D1DFE">
      <w:pPr>
        <w:widowControl w:val="0"/>
        <w:spacing w:line="240" w:lineRule="auto"/>
        <w:ind w:left="2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In tali casi e laddove richiesto, vi è obbligo di trasmettere tempestivamente e </w:t>
      </w:r>
      <w:r w:rsidRPr="007D1DFE">
        <w:rPr>
          <w:rFonts w:ascii="Times New Roman" w:eastAsia="Times New Roman" w:hAnsi="Times New Roman" w:cs="Times New Roman"/>
          <w:sz w:val="24"/>
          <w:szCs w:val="24"/>
          <w:lang w:eastAsia="it-IT"/>
        </w:rPr>
        <w:tab/>
        <w:t xml:space="preserve">compiutamente all'Avvocatura regionale - o </w:t>
      </w:r>
      <w:r w:rsidR="007523DA" w:rsidRPr="007D1DFE">
        <w:rPr>
          <w:rFonts w:ascii="Times New Roman" w:eastAsia="Times New Roman" w:hAnsi="Times New Roman" w:cs="Times New Roman"/>
          <w:sz w:val="24"/>
          <w:szCs w:val="24"/>
          <w:lang w:eastAsia="it-IT"/>
        </w:rPr>
        <w:t xml:space="preserve">ad eventuale patrocinatore del </w:t>
      </w:r>
      <w:r w:rsidRPr="007D1DFE">
        <w:rPr>
          <w:rFonts w:ascii="Times New Roman" w:eastAsia="Times New Roman" w:hAnsi="Times New Roman" w:cs="Times New Roman"/>
          <w:sz w:val="24"/>
          <w:szCs w:val="24"/>
          <w:lang w:eastAsia="it-IT"/>
        </w:rPr>
        <w:t>Consig</w:t>
      </w:r>
      <w:r w:rsidR="007523DA" w:rsidRPr="007D1DFE">
        <w:rPr>
          <w:rFonts w:ascii="Times New Roman" w:eastAsia="Times New Roman" w:hAnsi="Times New Roman" w:cs="Times New Roman"/>
          <w:sz w:val="24"/>
          <w:szCs w:val="24"/>
          <w:lang w:eastAsia="it-IT"/>
        </w:rPr>
        <w:t xml:space="preserve">lio </w:t>
      </w:r>
      <w:r w:rsidR="007523DA" w:rsidRPr="007D1DFE">
        <w:rPr>
          <w:rFonts w:ascii="Times New Roman" w:eastAsia="Times New Roman" w:hAnsi="Times New Roman" w:cs="Times New Roman"/>
          <w:sz w:val="24"/>
          <w:szCs w:val="24"/>
          <w:lang w:eastAsia="it-IT"/>
        </w:rPr>
        <w:tab/>
        <w:t xml:space="preserve">regionale </w:t>
      </w:r>
      <w:r w:rsidRPr="007D1DFE">
        <w:rPr>
          <w:rFonts w:ascii="Times New Roman" w:eastAsia="Times New Roman" w:hAnsi="Times New Roman" w:cs="Times New Roman"/>
          <w:sz w:val="24"/>
          <w:szCs w:val="24"/>
          <w:lang w:eastAsia="it-IT"/>
        </w:rPr>
        <w:t xml:space="preserve">ogni documento utile, unitamente ad una puntuale relazione di </w:t>
      </w:r>
      <w:r w:rsidRPr="007D1DFE">
        <w:rPr>
          <w:rFonts w:ascii="Times New Roman" w:eastAsia="Times New Roman" w:hAnsi="Times New Roman" w:cs="Times New Roman"/>
          <w:sz w:val="24"/>
          <w:szCs w:val="24"/>
          <w:lang w:eastAsia="it-IT"/>
        </w:rPr>
        <w:tab/>
        <w:t xml:space="preserve">accompagnamento, </w:t>
      </w:r>
      <w:r w:rsidRPr="007D1DFE">
        <w:rPr>
          <w:rFonts w:ascii="Times New Roman" w:eastAsia="Times New Roman" w:hAnsi="Times New Roman" w:cs="Times New Roman"/>
          <w:sz w:val="24"/>
          <w:szCs w:val="24"/>
          <w:lang w:eastAsia="it-IT"/>
        </w:rPr>
        <w:tab/>
        <w:t>allo scopo di rendere efficace la difesa dell'Amministrazione.</w:t>
      </w:r>
    </w:p>
    <w:p w:rsidR="009903C3" w:rsidRPr="007D1DFE" w:rsidRDefault="009903C3" w:rsidP="007D1DFE">
      <w:pPr>
        <w:widowControl w:val="0"/>
        <w:spacing w:line="240" w:lineRule="auto"/>
        <w:ind w:left="2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In proposito, si richiamano le circolari del Segretario generale </w:t>
      </w:r>
      <w:proofErr w:type="spellStart"/>
      <w:r w:rsidRPr="007D1DFE">
        <w:rPr>
          <w:rFonts w:ascii="Times New Roman" w:eastAsia="Times New Roman" w:hAnsi="Times New Roman" w:cs="Times New Roman"/>
          <w:sz w:val="24"/>
          <w:szCs w:val="24"/>
          <w:lang w:eastAsia="it-IT"/>
        </w:rPr>
        <w:t>prot</w:t>
      </w:r>
      <w:proofErr w:type="spellEnd"/>
      <w:r w:rsidRPr="007D1DFE">
        <w:rPr>
          <w:rFonts w:ascii="Times New Roman" w:eastAsia="Times New Roman" w:hAnsi="Times New Roman" w:cs="Times New Roman"/>
          <w:sz w:val="24"/>
          <w:szCs w:val="24"/>
          <w:lang w:eastAsia="it-IT"/>
        </w:rPr>
        <w:t xml:space="preserve">. RI n. 417 del </w:t>
      </w:r>
      <w:r w:rsidRPr="007D1DFE">
        <w:rPr>
          <w:rFonts w:ascii="Times New Roman" w:eastAsia="Times New Roman" w:hAnsi="Times New Roman" w:cs="Times New Roman"/>
          <w:sz w:val="24"/>
          <w:szCs w:val="24"/>
          <w:lang w:eastAsia="it-IT"/>
        </w:rPr>
        <w:tab/>
        <w:t xml:space="preserve">12.02.2016 e RI n. 3399 del 22.03.2016. </w:t>
      </w:r>
    </w:p>
    <w:p w:rsidR="009903C3" w:rsidRPr="007D1DFE" w:rsidRDefault="009903C3" w:rsidP="007D1DFE">
      <w:pPr>
        <w:widowControl w:val="0"/>
        <w:spacing w:line="240" w:lineRule="auto"/>
        <w:ind w:left="20"/>
        <w:jc w:val="both"/>
        <w:rPr>
          <w:rFonts w:ascii="Times New Roman" w:eastAsia="Times New Roman" w:hAnsi="Times New Roman" w:cs="Times New Roman"/>
          <w:sz w:val="24"/>
          <w:szCs w:val="24"/>
          <w:lang w:eastAsia="it-IT"/>
        </w:rPr>
      </w:pPr>
    </w:p>
    <w:p w:rsidR="009903C3" w:rsidRPr="007D1DFE" w:rsidRDefault="009903C3" w:rsidP="007D1DFE">
      <w:pPr>
        <w:widowControl w:val="0"/>
        <w:spacing w:line="240" w:lineRule="auto"/>
        <w:ind w:left="20"/>
        <w:jc w:val="both"/>
        <w:rPr>
          <w:rFonts w:ascii="Times New Roman" w:eastAsia="Times New Roman" w:hAnsi="Times New Roman" w:cs="Times New Roman"/>
          <w:sz w:val="24"/>
          <w:szCs w:val="24"/>
          <w:lang w:eastAsia="it-IT"/>
        </w:rPr>
      </w:pPr>
    </w:p>
    <w:p w:rsidR="009903C3" w:rsidRPr="007D1DFE" w:rsidRDefault="009903C3" w:rsidP="007D1DFE">
      <w:pPr>
        <w:jc w:val="both"/>
        <w:rPr>
          <w:rFonts w:asciiTheme="majorHAnsi" w:hAnsiTheme="majorHAnsi" w:cstheme="majorHAnsi"/>
          <w:b/>
          <w:sz w:val="24"/>
          <w:szCs w:val="24"/>
        </w:rPr>
      </w:pPr>
      <w:r w:rsidRPr="007D1DFE">
        <w:rPr>
          <w:rFonts w:asciiTheme="majorHAnsi" w:hAnsiTheme="majorHAnsi" w:cstheme="majorHAnsi"/>
          <w:b/>
          <w:sz w:val="24"/>
          <w:szCs w:val="24"/>
        </w:rPr>
        <w:t xml:space="preserve">2.6.1. Misure per agevolare l'individuazione delle operazioni sospette di riciclaggio e di finanziamento del terrorismo. </w:t>
      </w:r>
      <w:r w:rsidR="0070457D" w:rsidRPr="007D1DFE">
        <w:rPr>
          <w:rFonts w:asciiTheme="majorHAnsi" w:hAnsiTheme="majorHAnsi" w:cstheme="majorHAnsi"/>
          <w:b/>
          <w:sz w:val="24"/>
          <w:szCs w:val="24"/>
        </w:rPr>
        <w:t>La deliberazione n. 75/2017 dell’Ufficio di presidenza del Consiglio regionale.</w:t>
      </w:r>
      <w:r w:rsidR="00904A20" w:rsidRPr="007D1DFE">
        <w:rPr>
          <w:rFonts w:asciiTheme="majorHAnsi" w:hAnsiTheme="majorHAnsi" w:cstheme="majorHAnsi"/>
          <w:b/>
          <w:sz w:val="24"/>
          <w:szCs w:val="24"/>
        </w:rPr>
        <w:t xml:space="preserve"> </w:t>
      </w:r>
    </w:p>
    <w:p w:rsidR="009903C3" w:rsidRPr="007D1DFE" w:rsidRDefault="009903C3" w:rsidP="007D1DFE">
      <w:pPr>
        <w:jc w:val="both"/>
        <w:rPr>
          <w:rFonts w:asciiTheme="majorHAnsi" w:hAnsiTheme="majorHAnsi" w:cstheme="majorHAnsi"/>
          <w:b/>
          <w:sz w:val="24"/>
          <w:szCs w:val="24"/>
        </w:rPr>
      </w:pPr>
    </w:p>
    <w:p w:rsidR="009903C3" w:rsidRPr="007D1DFE" w:rsidRDefault="009903C3" w:rsidP="007D1DFE">
      <w:pPr>
        <w:jc w:val="both"/>
        <w:rPr>
          <w:rFonts w:asciiTheme="majorHAnsi" w:hAnsiTheme="majorHAnsi" w:cstheme="majorHAnsi"/>
          <w:sz w:val="24"/>
          <w:szCs w:val="24"/>
        </w:rPr>
      </w:pPr>
      <w:r w:rsidRPr="007D1DFE">
        <w:rPr>
          <w:rFonts w:asciiTheme="majorHAnsi" w:hAnsiTheme="majorHAnsi" w:cstheme="majorHAnsi"/>
          <w:sz w:val="24"/>
          <w:szCs w:val="24"/>
        </w:rPr>
        <w:tab/>
        <w:t>Il decreto del Ministero dell’Interno del 25 settembre 2015 (</w:t>
      </w:r>
      <w:r w:rsidRPr="007D1DFE">
        <w:rPr>
          <w:rFonts w:asciiTheme="majorHAnsi" w:hAnsiTheme="majorHAnsi" w:cstheme="majorHAnsi"/>
          <w:i/>
          <w:sz w:val="24"/>
          <w:szCs w:val="24"/>
        </w:rPr>
        <w:t>Determinazione degli indicatori di anomalia al fine di agevolare l'individuazione delle operazioni sospette di riciclaggio e di finanziamento del terrorismo da parte degli uffici della pubblica amministrazione</w:t>
      </w:r>
      <w:r w:rsidRPr="007D1DFE">
        <w:rPr>
          <w:rFonts w:asciiTheme="majorHAnsi" w:hAnsiTheme="majorHAnsi" w:cstheme="majorHAnsi"/>
          <w:sz w:val="24"/>
          <w:szCs w:val="24"/>
        </w:rPr>
        <w:t xml:space="preserve">) </w:t>
      </w:r>
      <w:r w:rsidRPr="007D1DFE">
        <w:rPr>
          <w:rFonts w:asciiTheme="majorHAnsi" w:hAnsiTheme="majorHAnsi" w:cstheme="majorHAnsi"/>
          <w:sz w:val="24"/>
          <w:szCs w:val="24"/>
          <w:vertAlign w:val="superscript"/>
        </w:rPr>
        <w:footnoteReference w:id="42"/>
      </w:r>
      <w:r w:rsidRPr="007D1DFE">
        <w:rPr>
          <w:rFonts w:asciiTheme="majorHAnsi" w:hAnsiTheme="majorHAnsi" w:cstheme="majorHAnsi"/>
          <w:sz w:val="24"/>
          <w:szCs w:val="24"/>
        </w:rPr>
        <w:t xml:space="preserve"> . attuativo del decreto legislativo 21 novembre 2007, n. 231, (</w:t>
      </w:r>
      <w:r w:rsidRPr="007D1DFE">
        <w:rPr>
          <w:rFonts w:asciiTheme="majorHAnsi" w:hAnsiTheme="majorHAnsi" w:cstheme="majorHAnsi"/>
          <w:i/>
          <w:sz w:val="24"/>
          <w:szCs w:val="24"/>
        </w:rPr>
        <w:t xml:space="preserve">Attuazione della direttiva 2005/60/CE concernente la prevenzione dell'utilizzo del sistema finanziario a scopo di riciclaggio dei proventi di </w:t>
      </w:r>
      <w:proofErr w:type="spellStart"/>
      <w:r w:rsidRPr="007D1DFE">
        <w:rPr>
          <w:rFonts w:asciiTheme="majorHAnsi" w:hAnsiTheme="majorHAnsi" w:cstheme="majorHAnsi"/>
          <w:i/>
          <w:sz w:val="24"/>
          <w:szCs w:val="24"/>
        </w:rPr>
        <w:t>attivita'</w:t>
      </w:r>
      <w:proofErr w:type="spellEnd"/>
      <w:r w:rsidRPr="007D1DFE">
        <w:rPr>
          <w:rFonts w:asciiTheme="majorHAnsi" w:hAnsiTheme="majorHAnsi" w:cstheme="majorHAnsi"/>
          <w:i/>
          <w:sz w:val="24"/>
          <w:szCs w:val="24"/>
        </w:rPr>
        <w:t xml:space="preserve"> criminose e di finanziamento del terrorismo </w:t>
      </w:r>
      <w:proofErr w:type="spellStart"/>
      <w:r w:rsidRPr="007D1DFE">
        <w:rPr>
          <w:rFonts w:asciiTheme="majorHAnsi" w:hAnsiTheme="majorHAnsi" w:cstheme="majorHAnsi"/>
          <w:i/>
          <w:sz w:val="24"/>
          <w:szCs w:val="24"/>
        </w:rPr>
        <w:t>nonche</w:t>
      </w:r>
      <w:proofErr w:type="spellEnd"/>
      <w:r w:rsidRPr="007D1DFE">
        <w:rPr>
          <w:rFonts w:asciiTheme="majorHAnsi" w:hAnsiTheme="majorHAnsi" w:cstheme="majorHAnsi"/>
          <w:i/>
          <w:sz w:val="24"/>
          <w:szCs w:val="24"/>
        </w:rPr>
        <w:t>' della direttiva 2006/70/CE che ne reca misure di esecuzione</w:t>
      </w:r>
      <w:r w:rsidRPr="007D1DFE">
        <w:rPr>
          <w:rFonts w:asciiTheme="majorHAnsi" w:hAnsiTheme="majorHAnsi" w:cstheme="majorHAnsi"/>
          <w:sz w:val="24"/>
          <w:szCs w:val="24"/>
        </w:rPr>
        <w:t xml:space="preserve">), prevede che ogni </w:t>
      </w:r>
      <w:r w:rsidR="00A458E0" w:rsidRPr="007D1DFE">
        <w:rPr>
          <w:rFonts w:asciiTheme="majorHAnsi" w:hAnsiTheme="majorHAnsi" w:cstheme="majorHAnsi"/>
          <w:sz w:val="24"/>
          <w:szCs w:val="24"/>
        </w:rPr>
        <w:t>PA</w:t>
      </w:r>
      <w:r w:rsidRPr="007D1DFE">
        <w:rPr>
          <w:rFonts w:asciiTheme="majorHAnsi" w:hAnsiTheme="majorHAnsi" w:cstheme="majorHAnsi"/>
          <w:sz w:val="24"/>
          <w:szCs w:val="24"/>
        </w:rPr>
        <w:t xml:space="preserve"> debba definire procedure interne volte a garantire l'efficacia della rilevazione di operazioni sospette che, qualora rilevate, dovranno essere tempestivamente segnalate </w:t>
      </w:r>
      <w:proofErr w:type="spellStart"/>
      <w:r w:rsidRPr="007D1DFE">
        <w:rPr>
          <w:rFonts w:asciiTheme="majorHAnsi" w:hAnsiTheme="majorHAnsi" w:cstheme="majorHAnsi"/>
          <w:sz w:val="24"/>
          <w:szCs w:val="24"/>
        </w:rPr>
        <w:t>all’Unita'</w:t>
      </w:r>
      <w:proofErr w:type="spellEnd"/>
      <w:r w:rsidRPr="007D1DFE">
        <w:rPr>
          <w:rFonts w:asciiTheme="majorHAnsi" w:hAnsiTheme="majorHAnsi" w:cstheme="majorHAnsi"/>
          <w:sz w:val="24"/>
          <w:szCs w:val="24"/>
        </w:rPr>
        <w:t xml:space="preserve"> di informazione finanziaria per l'Italia (UIF).</w:t>
      </w:r>
    </w:p>
    <w:p w:rsidR="009903C3" w:rsidRPr="007D1DFE" w:rsidRDefault="009903C3" w:rsidP="007D1DFE">
      <w:pPr>
        <w:jc w:val="both"/>
        <w:rPr>
          <w:rFonts w:asciiTheme="majorHAnsi" w:hAnsiTheme="majorHAnsi" w:cstheme="majorHAnsi"/>
          <w:sz w:val="24"/>
          <w:szCs w:val="24"/>
        </w:rPr>
      </w:pPr>
      <w:r w:rsidRPr="007D1DFE">
        <w:rPr>
          <w:rFonts w:asciiTheme="majorHAnsi" w:hAnsiTheme="majorHAnsi" w:cstheme="majorHAnsi"/>
          <w:sz w:val="24"/>
          <w:szCs w:val="24"/>
        </w:rPr>
        <w:tab/>
        <w:t xml:space="preserve">Ai sensi dell’art. 6 di tale decreto, dette procedure interne devono specificare le </w:t>
      </w:r>
      <w:proofErr w:type="spellStart"/>
      <w:r w:rsidRPr="007D1DFE">
        <w:rPr>
          <w:rFonts w:asciiTheme="majorHAnsi" w:hAnsiTheme="majorHAnsi" w:cstheme="majorHAnsi"/>
          <w:sz w:val="24"/>
          <w:szCs w:val="24"/>
        </w:rPr>
        <w:t>modalita'</w:t>
      </w:r>
      <w:proofErr w:type="spellEnd"/>
      <w:r w:rsidRPr="007D1DFE">
        <w:rPr>
          <w:rFonts w:asciiTheme="majorHAnsi" w:hAnsiTheme="majorHAnsi" w:cstheme="majorHAnsi"/>
          <w:sz w:val="24"/>
          <w:szCs w:val="24"/>
        </w:rPr>
        <w:t xml:space="preserve"> con le quali i diversi uffici di ciascuna pubblica amministrazione trasmettano ad un determinato soggetto – denominato “gestore”  - della stessa le informazioni in questione.</w:t>
      </w:r>
    </w:p>
    <w:p w:rsidR="0070457D" w:rsidRPr="007D1DFE" w:rsidRDefault="0070457D" w:rsidP="007D1DFE">
      <w:pPr>
        <w:ind w:firstLine="708"/>
        <w:jc w:val="both"/>
        <w:rPr>
          <w:rFonts w:ascii="Times New Roman" w:eastAsia="Calibri" w:hAnsi="Times New Roman" w:cs="Times New Roman"/>
          <w:sz w:val="24"/>
          <w:szCs w:val="24"/>
        </w:rPr>
      </w:pPr>
      <w:r w:rsidRPr="007D1DFE">
        <w:rPr>
          <w:rFonts w:ascii="Times New Roman" w:eastAsia="Calibri" w:hAnsi="Times New Roman" w:cs="Times New Roman"/>
          <w:sz w:val="24"/>
          <w:szCs w:val="24"/>
        </w:rPr>
        <w:lastRenderedPageBreak/>
        <w:t>L’Ufficio di presidenza del Consiglio regionale, con deliberazione n. 75 del 13 giugno 2017, ha dato seguito a tali previsioni, prevedendo</w:t>
      </w:r>
      <w:r w:rsidR="00EE0C12" w:rsidRPr="007D1DFE">
        <w:rPr>
          <w:rFonts w:ascii="Times New Roman" w:eastAsia="Calibri" w:hAnsi="Times New Roman" w:cs="Times New Roman"/>
          <w:sz w:val="24"/>
          <w:szCs w:val="24"/>
        </w:rPr>
        <w:t>, tra l’altro,</w:t>
      </w:r>
      <w:r w:rsidRPr="007D1DFE">
        <w:rPr>
          <w:rFonts w:ascii="Times New Roman" w:eastAsia="Calibri" w:hAnsi="Times New Roman" w:cs="Times New Roman"/>
          <w:sz w:val="24"/>
          <w:szCs w:val="24"/>
        </w:rPr>
        <w:t xml:space="preserve"> che “</w:t>
      </w:r>
      <w:r w:rsidRPr="007D1DFE">
        <w:rPr>
          <w:rFonts w:ascii="Times New Roman" w:eastAsia="Calibri" w:hAnsi="Times New Roman" w:cs="Times New Roman"/>
          <w:i/>
          <w:sz w:val="24"/>
          <w:szCs w:val="24"/>
        </w:rPr>
        <w:t>ciascun dirigente o incaricato di funzioni dirigenziali ogni qual volta abbia ragionevole motivo … di sospettare l’avvenuto compimento o il tentativo di compimento di operazioni di riciclaggio o di finanziamento del terrorismo sia tenuto ad inviare una relazione al Gestore, individuato nel Responsabile per la prevenzione della corruzione, contenente tutti gli elementi in possesso del segnalante, al fine di consentire una verifica nel merito da parte dello stesso Gestore. Le ragioni del sospetto possono essere desunte da qualsiasi circostanza conosciuta dal segnalante in ragione delle funzioni esercitate o acquisite e deve basarsi su una valutazione complessiva.</w:t>
      </w:r>
      <w:r w:rsidRPr="007D1DFE">
        <w:rPr>
          <w:rFonts w:ascii="Times New Roman" w:eastAsia="Calibri" w:hAnsi="Times New Roman" w:cs="Times New Roman"/>
          <w:sz w:val="24"/>
          <w:szCs w:val="24"/>
        </w:rPr>
        <w:t>”.</w:t>
      </w:r>
    </w:p>
    <w:p w:rsidR="00EE0C12" w:rsidRPr="007D1DFE" w:rsidRDefault="00EE0C12" w:rsidP="007D1DFE">
      <w:pPr>
        <w:ind w:firstLine="708"/>
        <w:jc w:val="both"/>
        <w:rPr>
          <w:rFonts w:ascii="Times New Roman" w:eastAsia="Calibri" w:hAnsi="Times New Roman" w:cs="Times New Roman"/>
          <w:sz w:val="24"/>
          <w:szCs w:val="24"/>
        </w:rPr>
      </w:pPr>
      <w:r w:rsidRPr="007D1DFE">
        <w:rPr>
          <w:rFonts w:ascii="Times New Roman" w:eastAsia="Calibri" w:hAnsi="Times New Roman" w:cs="Times New Roman"/>
          <w:sz w:val="24"/>
          <w:szCs w:val="24"/>
        </w:rPr>
        <w:t xml:space="preserve">L’obbligo di segnalazione al Gestore consegue ad un’attenta analisi sia di aspetti correlati al soggetto - ovvero ai soggetti – nei confronti del quale (o dei quali) è realizzata l’operazione a contenuto economico sia di aspetti inerenti </w:t>
      </w:r>
      <w:r w:rsidR="001352D3" w:rsidRPr="007D1DFE">
        <w:rPr>
          <w:rFonts w:ascii="Times New Roman" w:eastAsia="Calibri" w:hAnsi="Times New Roman" w:cs="Times New Roman"/>
          <w:sz w:val="24"/>
          <w:szCs w:val="24"/>
        </w:rPr>
        <w:t xml:space="preserve">a </w:t>
      </w:r>
      <w:r w:rsidRPr="007D1DFE">
        <w:rPr>
          <w:rFonts w:ascii="Times New Roman" w:eastAsia="Calibri" w:hAnsi="Times New Roman" w:cs="Times New Roman"/>
          <w:sz w:val="24"/>
          <w:szCs w:val="24"/>
        </w:rPr>
        <w:t>modalità e circostanze oggettive che caratterizzano l’operazione stessa.</w:t>
      </w:r>
    </w:p>
    <w:p w:rsidR="0070457D" w:rsidRPr="007D1DFE" w:rsidRDefault="0070457D" w:rsidP="007D1DFE">
      <w:pPr>
        <w:ind w:firstLine="708"/>
        <w:jc w:val="both"/>
        <w:rPr>
          <w:rFonts w:ascii="Times New Roman" w:eastAsia="Calibri" w:hAnsi="Times New Roman" w:cs="Times New Roman"/>
          <w:sz w:val="24"/>
          <w:szCs w:val="24"/>
        </w:rPr>
      </w:pPr>
      <w:r w:rsidRPr="007D1DFE">
        <w:rPr>
          <w:rFonts w:ascii="Times New Roman" w:eastAsia="Calibri" w:hAnsi="Times New Roman" w:cs="Times New Roman"/>
          <w:sz w:val="24"/>
          <w:szCs w:val="24"/>
        </w:rPr>
        <w:t>A seguito della segnalazione del dirigente, il Gestore, quale soggetto incaricato per la valutazione e la trasmissione delle segnalazioni all’Unit</w:t>
      </w:r>
      <w:r w:rsidR="00E70A00">
        <w:rPr>
          <w:rFonts w:ascii="Times New Roman" w:eastAsia="Calibri" w:hAnsi="Times New Roman" w:cs="Times New Roman"/>
          <w:sz w:val="24"/>
          <w:szCs w:val="24"/>
        </w:rPr>
        <w:t>à</w:t>
      </w:r>
      <w:r w:rsidRPr="007D1DFE">
        <w:rPr>
          <w:rFonts w:ascii="Times New Roman" w:eastAsia="Calibri" w:hAnsi="Times New Roman" w:cs="Times New Roman"/>
          <w:sz w:val="24"/>
          <w:szCs w:val="24"/>
        </w:rPr>
        <w:t xml:space="preserve"> di informazione finanziaria per l'Italia (UIF), ha facoltà di richiedere al segnalante e ad altri dirigenti ulteriori elementi o precisazioni ritenuti necessari per valutare se sussistano i presupposti per la segnalazione ai sensi dell’art. 7 del </w:t>
      </w:r>
      <w:r w:rsidR="00C620E8" w:rsidRPr="007D1DFE">
        <w:rPr>
          <w:rFonts w:ascii="Times New Roman" w:eastAsia="Calibri" w:hAnsi="Times New Roman" w:cs="Times New Roman"/>
          <w:sz w:val="24"/>
          <w:szCs w:val="24"/>
        </w:rPr>
        <w:t>citato decreto ministeriale.</w:t>
      </w:r>
    </w:p>
    <w:p w:rsidR="00C620E8" w:rsidRPr="007D1DFE" w:rsidRDefault="00C620E8" w:rsidP="007D1DFE">
      <w:pPr>
        <w:ind w:firstLine="708"/>
        <w:jc w:val="both"/>
        <w:rPr>
          <w:rFonts w:ascii="Times New Roman" w:eastAsia="Calibri" w:hAnsi="Times New Roman" w:cs="Times New Roman"/>
          <w:sz w:val="24"/>
          <w:szCs w:val="24"/>
        </w:rPr>
      </w:pPr>
      <w:r w:rsidRPr="007D1DFE">
        <w:rPr>
          <w:rFonts w:ascii="Times New Roman" w:eastAsia="Calibri" w:hAnsi="Times New Roman" w:cs="Times New Roman"/>
          <w:sz w:val="24"/>
          <w:szCs w:val="24"/>
        </w:rPr>
        <w:t xml:space="preserve">Con un’apposita circolare </w:t>
      </w:r>
      <w:r w:rsidR="00EE0C12" w:rsidRPr="007D1DFE">
        <w:rPr>
          <w:rFonts w:ascii="Times New Roman" w:eastAsia="Calibri" w:hAnsi="Times New Roman" w:cs="Times New Roman"/>
          <w:sz w:val="24"/>
          <w:szCs w:val="24"/>
        </w:rPr>
        <w:t>interna pubblicata nella sezione Intranet -</w:t>
      </w:r>
      <w:r w:rsidRPr="007D1DFE">
        <w:rPr>
          <w:rFonts w:ascii="Times New Roman" w:eastAsia="Calibri" w:hAnsi="Times New Roman" w:cs="Times New Roman"/>
          <w:sz w:val="24"/>
          <w:szCs w:val="24"/>
        </w:rPr>
        <w:t xml:space="preserve"> </w:t>
      </w:r>
      <w:proofErr w:type="spellStart"/>
      <w:r w:rsidRPr="007D1DFE">
        <w:rPr>
          <w:rFonts w:ascii="Times New Roman" w:eastAsia="Calibri" w:hAnsi="Times New Roman" w:cs="Times New Roman"/>
          <w:sz w:val="24"/>
          <w:szCs w:val="24"/>
        </w:rPr>
        <w:t>prot</w:t>
      </w:r>
      <w:proofErr w:type="spellEnd"/>
      <w:r w:rsidRPr="007D1DFE">
        <w:rPr>
          <w:rFonts w:ascii="Times New Roman" w:eastAsia="Calibri" w:hAnsi="Times New Roman" w:cs="Times New Roman"/>
          <w:sz w:val="24"/>
          <w:szCs w:val="24"/>
        </w:rPr>
        <w:t>. R.I. n. 2902 del 27</w:t>
      </w:r>
      <w:r w:rsidR="00DE5D8F" w:rsidRPr="007D1DFE">
        <w:rPr>
          <w:rFonts w:ascii="Times New Roman" w:eastAsia="Calibri" w:hAnsi="Times New Roman" w:cs="Times New Roman"/>
          <w:sz w:val="24"/>
          <w:szCs w:val="24"/>
        </w:rPr>
        <w:t xml:space="preserve"> luglio </w:t>
      </w:r>
      <w:r w:rsidRPr="007D1DFE">
        <w:rPr>
          <w:rFonts w:ascii="Times New Roman" w:eastAsia="Calibri" w:hAnsi="Times New Roman" w:cs="Times New Roman"/>
          <w:sz w:val="24"/>
          <w:szCs w:val="24"/>
        </w:rPr>
        <w:t>2017 </w:t>
      </w:r>
      <w:r w:rsidR="00EE0C12" w:rsidRPr="007D1DFE">
        <w:rPr>
          <w:rFonts w:ascii="Times New Roman" w:eastAsia="Calibri" w:hAnsi="Times New Roman" w:cs="Times New Roman"/>
          <w:sz w:val="24"/>
          <w:szCs w:val="24"/>
        </w:rPr>
        <w:t xml:space="preserve">– il Responsabile per la prevenzione della corruzione ha fornito una serie di indicazioni agli uffici per favorire la corretta applicazione degli adempimenti sopra menzionati. </w:t>
      </w:r>
    </w:p>
    <w:p w:rsidR="00352F3C" w:rsidRPr="007D1DFE" w:rsidRDefault="00352F3C" w:rsidP="007D1DFE">
      <w:pPr>
        <w:jc w:val="both"/>
        <w:rPr>
          <w:rFonts w:asciiTheme="majorHAnsi" w:hAnsiTheme="majorHAnsi" w:cstheme="majorHAnsi"/>
          <w:sz w:val="24"/>
          <w:szCs w:val="24"/>
        </w:rPr>
      </w:pPr>
      <w:r w:rsidRPr="007D1DFE">
        <w:rPr>
          <w:rFonts w:ascii="Bauhaus 93" w:hAnsi="Bauhaus 93" w:cstheme="majorHAnsi"/>
          <w:sz w:val="24"/>
          <w:szCs w:val="24"/>
        </w:rPr>
        <w:tab/>
      </w:r>
      <w:r w:rsidR="00EE0C12" w:rsidRPr="007D1DFE">
        <w:rPr>
          <w:rFonts w:asciiTheme="majorHAnsi" w:hAnsiTheme="majorHAnsi" w:cstheme="majorHAnsi"/>
          <w:sz w:val="24"/>
          <w:szCs w:val="24"/>
        </w:rPr>
        <w:t>In materia di prevenzione dell’uso del sistema finanziario a fini di riciclaggio o finanziamento del terrorismo, n</w:t>
      </w:r>
      <w:r w:rsidRPr="007D1DFE">
        <w:rPr>
          <w:rFonts w:asciiTheme="majorHAnsi" w:hAnsiTheme="majorHAnsi" w:cstheme="majorHAnsi"/>
          <w:sz w:val="24"/>
          <w:szCs w:val="24"/>
        </w:rPr>
        <w:t>el corso del 2017 è stato approvato i</w:t>
      </w:r>
      <w:r w:rsidR="008C11B2" w:rsidRPr="007D1DFE">
        <w:rPr>
          <w:rFonts w:asciiTheme="majorHAnsi" w:hAnsiTheme="majorHAnsi" w:cstheme="majorHAnsi"/>
          <w:sz w:val="24"/>
          <w:szCs w:val="24"/>
        </w:rPr>
        <w:t xml:space="preserve">l decreto legislativo n. 90 </w:t>
      </w:r>
      <w:r w:rsidRPr="007D1DFE">
        <w:rPr>
          <w:rFonts w:asciiTheme="majorHAnsi" w:hAnsiTheme="majorHAnsi" w:cstheme="majorHAnsi"/>
          <w:sz w:val="24"/>
          <w:szCs w:val="24"/>
        </w:rPr>
        <w:t>in a</w:t>
      </w:r>
      <w:r w:rsidR="008C11B2" w:rsidRPr="007D1DFE">
        <w:rPr>
          <w:rFonts w:asciiTheme="majorHAnsi" w:hAnsiTheme="majorHAnsi" w:cstheme="majorHAnsi"/>
          <w:sz w:val="24"/>
          <w:szCs w:val="24"/>
        </w:rPr>
        <w:t>ttuazione della direttiva (UE) 2015/849</w:t>
      </w:r>
      <w:r w:rsidR="00EE0C12" w:rsidRPr="007D1DFE">
        <w:rPr>
          <w:rFonts w:asciiTheme="majorHAnsi" w:hAnsiTheme="majorHAnsi" w:cstheme="majorHAnsi"/>
          <w:sz w:val="24"/>
          <w:szCs w:val="24"/>
        </w:rPr>
        <w:t>,</w:t>
      </w:r>
      <w:r w:rsidR="008537A5" w:rsidRPr="007D1DFE">
        <w:rPr>
          <w:rFonts w:asciiTheme="majorHAnsi" w:hAnsiTheme="majorHAnsi" w:cstheme="majorHAnsi"/>
          <w:sz w:val="24"/>
          <w:szCs w:val="24"/>
        </w:rPr>
        <w:t xml:space="preserve"> che sostanzialmente riscrive</w:t>
      </w:r>
      <w:r w:rsidR="00EE0C12" w:rsidRPr="007D1DFE">
        <w:rPr>
          <w:rFonts w:asciiTheme="majorHAnsi" w:hAnsiTheme="majorHAnsi" w:cstheme="majorHAnsi"/>
          <w:sz w:val="24"/>
          <w:szCs w:val="24"/>
        </w:rPr>
        <w:t>, ampliandone i contenuti,</w:t>
      </w:r>
      <w:r w:rsidR="008537A5" w:rsidRPr="007D1DFE">
        <w:rPr>
          <w:rFonts w:asciiTheme="majorHAnsi" w:hAnsiTheme="majorHAnsi" w:cstheme="majorHAnsi"/>
          <w:sz w:val="24"/>
          <w:szCs w:val="24"/>
        </w:rPr>
        <w:t xml:space="preserve"> il </w:t>
      </w:r>
      <w:proofErr w:type="spellStart"/>
      <w:r w:rsidR="008537A5" w:rsidRPr="007D1DFE">
        <w:rPr>
          <w:rFonts w:asciiTheme="majorHAnsi" w:hAnsiTheme="majorHAnsi" w:cstheme="majorHAnsi"/>
          <w:sz w:val="24"/>
          <w:szCs w:val="24"/>
        </w:rPr>
        <w:t>D.Lgs.</w:t>
      </w:r>
      <w:proofErr w:type="spellEnd"/>
      <w:r w:rsidR="008537A5" w:rsidRPr="007D1DFE">
        <w:rPr>
          <w:rFonts w:asciiTheme="majorHAnsi" w:hAnsiTheme="majorHAnsi" w:cstheme="majorHAnsi"/>
          <w:sz w:val="24"/>
          <w:szCs w:val="24"/>
        </w:rPr>
        <w:t xml:space="preserve"> n. 231 del 2007 attuativo della precedente direttiva antiriciclaggio</w:t>
      </w:r>
      <w:r w:rsidRPr="007D1DFE">
        <w:rPr>
          <w:rFonts w:asciiTheme="majorHAnsi" w:hAnsiTheme="majorHAnsi" w:cstheme="majorHAnsi"/>
          <w:sz w:val="24"/>
          <w:szCs w:val="24"/>
        </w:rPr>
        <w:t>.</w:t>
      </w:r>
    </w:p>
    <w:p w:rsidR="009903C3" w:rsidRPr="007D1DFE" w:rsidRDefault="009903C3" w:rsidP="007D1DFE">
      <w:pPr>
        <w:jc w:val="both"/>
        <w:rPr>
          <w:rFonts w:asciiTheme="majorHAnsi" w:hAnsiTheme="majorHAnsi" w:cstheme="majorHAnsi"/>
          <w:sz w:val="24"/>
          <w:szCs w:val="24"/>
        </w:rPr>
      </w:pPr>
    </w:p>
    <w:p w:rsidR="00EE0C12" w:rsidRPr="007D1DFE" w:rsidRDefault="00EE0C12"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2.6.2.</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b/>
          <w:sz w:val="24"/>
          <w:szCs w:val="24"/>
          <w:lang w:eastAsia="it-IT"/>
        </w:rPr>
        <w:t xml:space="preserve">Le attività e le misure di prevenzione da adottare in generale in relazione ai processi di affidamento di lavori, servizi e forniture. </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Per quanto concerne i processi di affidamento, in coerenza con le indicazioni a tal proposito contenute nell’aggiornamento del P.N.A. per l’anno 2015 </w:t>
      </w:r>
      <w:r w:rsidRPr="007D1DFE">
        <w:rPr>
          <w:rFonts w:ascii="Times New Roman" w:eastAsia="Times New Roman" w:hAnsi="Times New Roman" w:cs="Times New Roman"/>
          <w:sz w:val="24"/>
          <w:szCs w:val="24"/>
          <w:vertAlign w:val="superscript"/>
          <w:lang w:eastAsia="it-IT"/>
        </w:rPr>
        <w:footnoteReference w:id="43"/>
      </w:r>
      <w:r w:rsidRPr="007D1DFE">
        <w:rPr>
          <w:rFonts w:ascii="Times New Roman" w:eastAsia="Times New Roman" w:hAnsi="Times New Roman" w:cs="Times New Roman"/>
          <w:sz w:val="24"/>
          <w:szCs w:val="24"/>
          <w:lang w:eastAsia="it-IT"/>
        </w:rPr>
        <w:t xml:space="preserve">, si evidenzia, in relazione alle diverse fasi che li caratterizzano, l’esigenza di porre in essere, tra gli altri, i seguenti adempimenti: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A6773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a) </w:t>
      </w:r>
      <w:r w:rsidRPr="007D1DFE">
        <w:rPr>
          <w:rFonts w:ascii="Times New Roman" w:eastAsia="Times New Roman" w:hAnsi="Times New Roman" w:cs="Times New Roman"/>
          <w:b/>
          <w:sz w:val="24"/>
          <w:szCs w:val="24"/>
          <w:lang w:eastAsia="it-IT"/>
        </w:rPr>
        <w:t>fase di programmazione</w:t>
      </w:r>
      <w:r w:rsidRPr="007D1DFE">
        <w:rPr>
          <w:rFonts w:ascii="Times New Roman" w:eastAsia="Times New Roman" w:hAnsi="Times New Roman" w:cs="Times New Roman"/>
          <w:sz w:val="24"/>
          <w:szCs w:val="24"/>
          <w:lang w:eastAsia="it-IT"/>
        </w:rPr>
        <w:t xml:space="preserve">: </w:t>
      </w:r>
      <w:r w:rsidR="00A67733" w:rsidRPr="007D1DFE">
        <w:rPr>
          <w:rFonts w:ascii="Times New Roman" w:eastAsia="Times New Roman" w:hAnsi="Times New Roman" w:cs="Times New Roman"/>
          <w:sz w:val="24"/>
          <w:szCs w:val="24"/>
          <w:lang w:eastAsia="it-IT"/>
        </w:rPr>
        <w:t xml:space="preserve">l’art. </w:t>
      </w:r>
      <w:r w:rsidRPr="007D1DFE">
        <w:rPr>
          <w:rFonts w:ascii="Times New Roman" w:eastAsia="Times New Roman" w:hAnsi="Times New Roman" w:cs="Times New Roman"/>
          <w:sz w:val="24"/>
          <w:szCs w:val="24"/>
          <w:lang w:eastAsia="it-IT"/>
        </w:rPr>
        <w:t xml:space="preserve"> 21</w:t>
      </w:r>
      <w:r w:rsidR="00A67733"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del d.lgs. 50/2016</w:t>
      </w:r>
      <w:r w:rsidRPr="007D1DFE">
        <w:t xml:space="preserve"> </w:t>
      </w:r>
      <w:r w:rsidRPr="007D1DFE">
        <w:rPr>
          <w:rFonts w:ascii="Times New Roman" w:eastAsia="Times New Roman" w:hAnsi="Times New Roman" w:cs="Times New Roman"/>
          <w:sz w:val="24"/>
          <w:szCs w:val="24"/>
          <w:lang w:eastAsia="it-IT"/>
        </w:rPr>
        <w:t>stabilisce</w:t>
      </w:r>
      <w:r w:rsidR="00A67733" w:rsidRPr="007D1DFE">
        <w:rPr>
          <w:rFonts w:ascii="Times New Roman" w:eastAsia="Times New Roman" w:hAnsi="Times New Roman" w:cs="Times New Roman"/>
          <w:sz w:val="24"/>
          <w:szCs w:val="24"/>
          <w:lang w:eastAsia="it-IT"/>
        </w:rPr>
        <w:t xml:space="preserve"> che:</w:t>
      </w:r>
    </w:p>
    <w:p w:rsidR="00A67733" w:rsidRPr="007D1DFE" w:rsidRDefault="00A6773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w:t>
      </w:r>
      <w:r w:rsidR="009903C3" w:rsidRPr="007D1DFE">
        <w:rPr>
          <w:rFonts w:ascii="Times New Roman" w:eastAsia="Times New Roman" w:hAnsi="Times New Roman" w:cs="Times New Roman"/>
          <w:sz w:val="24"/>
          <w:szCs w:val="24"/>
          <w:lang w:eastAsia="it-IT"/>
        </w:rPr>
        <w:t>“</w:t>
      </w:r>
      <w:r w:rsidR="009903C3" w:rsidRPr="007D1DFE">
        <w:rPr>
          <w:rFonts w:ascii="Times New Roman" w:eastAsia="Times New Roman" w:hAnsi="Times New Roman" w:cs="Times New Roman"/>
          <w:i/>
          <w:sz w:val="24"/>
          <w:szCs w:val="24"/>
          <w:lang w:eastAsia="it-IT"/>
        </w:rPr>
        <w:t>le amministrazioni aggiudicatrici adottano il programma biennale degli acquisti di beni e servizi e il programma triennale dei lavori pubblici, nonché i relativi aggiornamenti annuali. I programmi sono approvati nel rispetto dei documenti programmatori e in coerenza con il bilancio</w:t>
      </w:r>
      <w:proofErr w:type="gramStart"/>
      <w:r w:rsidR="009903C3" w:rsidRPr="007D1DFE">
        <w:rPr>
          <w:rFonts w:ascii="Times New Roman" w:eastAsia="Times New Roman" w:hAnsi="Times New Roman" w:cs="Times New Roman"/>
          <w:sz w:val="24"/>
          <w:szCs w:val="24"/>
          <w:lang w:eastAsia="it-IT"/>
        </w:rPr>
        <w:t>.”</w:t>
      </w:r>
      <w:r w:rsidRPr="007D1DFE">
        <w:rPr>
          <w:rFonts w:ascii="Times New Roman" w:eastAsia="Times New Roman" w:hAnsi="Times New Roman" w:cs="Times New Roman"/>
          <w:sz w:val="24"/>
          <w:szCs w:val="24"/>
          <w:lang w:eastAsia="it-IT"/>
        </w:rPr>
        <w:t>(</w:t>
      </w:r>
      <w:proofErr w:type="gramEnd"/>
      <w:r w:rsidRPr="007D1DFE">
        <w:rPr>
          <w:rFonts w:ascii="Times New Roman" w:eastAsia="Times New Roman" w:hAnsi="Times New Roman" w:cs="Times New Roman"/>
          <w:sz w:val="24"/>
          <w:szCs w:val="24"/>
          <w:lang w:eastAsia="it-IT"/>
        </w:rPr>
        <w:t>comma 1);</w:t>
      </w:r>
    </w:p>
    <w:p w:rsidR="00A67733" w:rsidRPr="007D1DFE" w:rsidRDefault="00A6773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w:t>
      </w:r>
      <w:r w:rsidR="009903C3" w:rsidRPr="007D1DFE">
        <w:rPr>
          <w:rFonts w:ascii="Times New Roman" w:eastAsia="Times New Roman" w:hAnsi="Times New Roman" w:cs="Times New Roman"/>
          <w:sz w:val="24"/>
          <w:szCs w:val="24"/>
          <w:lang w:eastAsia="it-IT"/>
        </w:rPr>
        <w:t xml:space="preserve">nel programma triennale dei lavori pubblici devono essere inseriti i lavori che abbiano un </w:t>
      </w:r>
      <w:r w:rsidRPr="007D1DFE">
        <w:rPr>
          <w:rFonts w:ascii="Times New Roman" w:eastAsia="Times New Roman" w:hAnsi="Times New Roman" w:cs="Times New Roman"/>
          <w:sz w:val="24"/>
          <w:szCs w:val="24"/>
          <w:lang w:eastAsia="it-IT"/>
        </w:rPr>
        <w:t>valore</w:t>
      </w:r>
      <w:r w:rsidR="009903C3" w:rsidRPr="007D1DFE">
        <w:rPr>
          <w:rFonts w:ascii="Times New Roman" w:eastAsia="Times New Roman" w:hAnsi="Times New Roman" w:cs="Times New Roman"/>
          <w:sz w:val="24"/>
          <w:szCs w:val="24"/>
          <w:lang w:eastAsia="it-IT"/>
        </w:rPr>
        <w:t xml:space="preserve"> stimato pari </w:t>
      </w:r>
      <w:r w:rsidRPr="007D1DFE">
        <w:rPr>
          <w:rFonts w:ascii="Times New Roman" w:eastAsia="Times New Roman" w:hAnsi="Times New Roman" w:cs="Times New Roman"/>
          <w:sz w:val="24"/>
          <w:szCs w:val="24"/>
          <w:lang w:eastAsia="it-IT"/>
        </w:rPr>
        <w:t xml:space="preserve">o superiore </w:t>
      </w:r>
      <w:r w:rsidR="009903C3" w:rsidRPr="007D1DFE">
        <w:rPr>
          <w:rFonts w:ascii="Times New Roman" w:eastAsia="Times New Roman" w:hAnsi="Times New Roman" w:cs="Times New Roman"/>
          <w:sz w:val="24"/>
          <w:szCs w:val="24"/>
          <w:lang w:eastAsia="it-IT"/>
        </w:rPr>
        <w:t>a 100 mila euro</w:t>
      </w:r>
      <w:r w:rsidRPr="007D1DFE">
        <w:rPr>
          <w:rFonts w:ascii="Times New Roman" w:eastAsia="Times New Roman" w:hAnsi="Times New Roman" w:cs="Times New Roman"/>
          <w:sz w:val="24"/>
          <w:szCs w:val="24"/>
          <w:lang w:eastAsia="it-IT"/>
        </w:rPr>
        <w:t xml:space="preserve"> (comma 3);</w:t>
      </w:r>
    </w:p>
    <w:p w:rsidR="00A67733" w:rsidRPr="007D1DFE" w:rsidRDefault="00A6773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w:t>
      </w:r>
      <w:r w:rsidR="009903C3" w:rsidRPr="007D1DFE">
        <w:rPr>
          <w:rFonts w:ascii="Times New Roman" w:eastAsia="Times New Roman" w:hAnsi="Times New Roman" w:cs="Times New Roman"/>
          <w:sz w:val="24"/>
          <w:szCs w:val="24"/>
          <w:lang w:eastAsia="it-IT"/>
        </w:rPr>
        <w:t xml:space="preserve"> nel programma biennale </w:t>
      </w:r>
      <w:r w:rsidRPr="007D1DFE">
        <w:rPr>
          <w:rFonts w:ascii="Times New Roman" w:eastAsia="Times New Roman" w:hAnsi="Times New Roman" w:cs="Times New Roman"/>
          <w:sz w:val="24"/>
          <w:szCs w:val="24"/>
          <w:lang w:eastAsia="it-IT"/>
        </w:rPr>
        <w:t xml:space="preserve">di forniture e servizi sono inseriti </w:t>
      </w:r>
      <w:r w:rsidR="009903C3" w:rsidRPr="007D1DFE">
        <w:rPr>
          <w:rFonts w:ascii="Times New Roman" w:eastAsia="Times New Roman" w:hAnsi="Times New Roman" w:cs="Times New Roman"/>
          <w:sz w:val="24"/>
          <w:szCs w:val="24"/>
          <w:lang w:eastAsia="it-IT"/>
        </w:rPr>
        <w:t>gli acquisti di beni e servizi di importo unitario stimato pari o superiore a 40.000 euro (comma 6).</w:t>
      </w:r>
    </w:p>
    <w:p w:rsidR="00FA215C" w:rsidRPr="007D1DFE" w:rsidRDefault="00250644"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Ministero delle Infrastrutture e dei Trasporti con decreto </w:t>
      </w:r>
      <w:r w:rsidR="006F39CB" w:rsidRPr="007D1DFE">
        <w:rPr>
          <w:rFonts w:ascii="Times New Roman" w:eastAsia="Times New Roman" w:hAnsi="Times New Roman" w:cs="Times New Roman"/>
          <w:sz w:val="24"/>
          <w:szCs w:val="24"/>
          <w:lang w:eastAsia="it-IT"/>
        </w:rPr>
        <w:t xml:space="preserve">16 gennaio 2018, n. 14  </w:t>
      </w:r>
      <w:r w:rsidRPr="007D1DFE">
        <w:rPr>
          <w:rFonts w:ascii="Times New Roman" w:eastAsia="Times New Roman" w:hAnsi="Times New Roman" w:cs="Times New Roman"/>
          <w:sz w:val="24"/>
          <w:szCs w:val="24"/>
          <w:lang w:eastAsia="it-IT"/>
        </w:rPr>
        <w:t>(</w:t>
      </w:r>
      <w:r w:rsidR="006F39CB" w:rsidRPr="007D1DFE">
        <w:rPr>
          <w:rFonts w:ascii="Times New Roman" w:eastAsia="Times New Roman" w:hAnsi="Times New Roman" w:cs="Times New Roman"/>
          <w:sz w:val="24"/>
          <w:szCs w:val="24"/>
          <w:lang w:eastAsia="it-IT"/>
        </w:rPr>
        <w:t xml:space="preserve">Regolamento recante procedure e schemi-tipo per la redazione e la pubblicazione del programma triennale dei lavori pubblici, del programma biennale per l'acquisizione di forniture e servizi e dei relativi elenchi </w:t>
      </w:r>
      <w:r w:rsidR="006F39CB" w:rsidRPr="007D1DFE">
        <w:rPr>
          <w:rFonts w:ascii="Times New Roman" w:eastAsia="Times New Roman" w:hAnsi="Times New Roman" w:cs="Times New Roman"/>
          <w:sz w:val="24"/>
          <w:szCs w:val="24"/>
          <w:lang w:eastAsia="it-IT"/>
        </w:rPr>
        <w:lastRenderedPageBreak/>
        <w:t>annuali e aggiornamenti annuali.</w:t>
      </w:r>
      <w:r w:rsidRPr="007D1DFE">
        <w:rPr>
          <w:rFonts w:ascii="Times New Roman" w:eastAsia="Times New Roman" w:hAnsi="Times New Roman" w:cs="Times New Roman"/>
          <w:sz w:val="24"/>
          <w:szCs w:val="24"/>
          <w:lang w:eastAsia="it-IT"/>
        </w:rPr>
        <w:t>), entrato in vigore il 24 mar</w:t>
      </w:r>
      <w:r w:rsidR="00A67733" w:rsidRPr="007D1DFE">
        <w:rPr>
          <w:rFonts w:ascii="Times New Roman" w:eastAsia="Times New Roman" w:hAnsi="Times New Roman" w:cs="Times New Roman"/>
          <w:sz w:val="24"/>
          <w:szCs w:val="24"/>
          <w:lang w:eastAsia="it-IT"/>
        </w:rPr>
        <w:t>zo 2018, ha dato attuazione alle</w:t>
      </w:r>
      <w:r w:rsidRPr="007D1DFE">
        <w:rPr>
          <w:rFonts w:ascii="Times New Roman" w:eastAsia="Times New Roman" w:hAnsi="Times New Roman" w:cs="Times New Roman"/>
          <w:sz w:val="24"/>
          <w:szCs w:val="24"/>
          <w:lang w:eastAsia="it-IT"/>
        </w:rPr>
        <w:t xml:space="preserve"> </w:t>
      </w:r>
      <w:r w:rsidR="00A67733" w:rsidRPr="007D1DFE">
        <w:rPr>
          <w:rFonts w:ascii="Times New Roman" w:eastAsia="Times New Roman" w:hAnsi="Times New Roman" w:cs="Times New Roman"/>
          <w:sz w:val="24"/>
          <w:szCs w:val="24"/>
          <w:lang w:eastAsia="it-IT"/>
        </w:rPr>
        <w:t xml:space="preserve">richiamate disposizioni </w:t>
      </w:r>
      <w:r w:rsidR="00E7009A" w:rsidRPr="007D1DFE">
        <w:rPr>
          <w:rFonts w:ascii="Times New Roman" w:eastAsia="Times New Roman" w:hAnsi="Times New Roman" w:cs="Times New Roman"/>
          <w:sz w:val="24"/>
          <w:szCs w:val="24"/>
          <w:lang w:eastAsia="it-IT"/>
        </w:rPr>
        <w:t>dell’art. 21 del d.lgs. 50/2016 e ad esso si rinvia con riferimento alle modalità di redazione, approvazione, aggiornamento e modifica sia del programma triennale dei lavori pubblici e del relativo elenco annuale che del programma biennale degli acquisti di forniture e servizi nonché relativamente agli obblighi informativi e di pubblicità.</w:t>
      </w:r>
      <w:r w:rsidR="006F39CB" w:rsidRPr="007D1DFE">
        <w:rPr>
          <w:rFonts w:ascii="Times New Roman" w:eastAsia="Times New Roman" w:hAnsi="Times New Roman" w:cs="Times New Roman"/>
          <w:sz w:val="24"/>
          <w:szCs w:val="24"/>
          <w:lang w:eastAsia="it-IT"/>
        </w:rPr>
        <w:t xml:space="preserve"> </w:t>
      </w:r>
    </w:p>
    <w:p w:rsidR="00EC4F34" w:rsidRPr="007D1DFE" w:rsidRDefault="00FA215C"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r>
      <w:r w:rsidR="009903C3" w:rsidRPr="007D1DFE">
        <w:rPr>
          <w:rFonts w:ascii="Times New Roman" w:eastAsia="Times New Roman" w:hAnsi="Times New Roman" w:cs="Times New Roman"/>
          <w:sz w:val="24"/>
          <w:szCs w:val="24"/>
          <w:lang w:eastAsia="it-IT"/>
        </w:rPr>
        <w:t>In questa fase della programmazione relativa agli acquisti di beni e servizi - partendo dal monitoraggio, a cura del competente RUP, della scadenza dei contratti di appalto in essere al fine di evitare il ricorso a proroghe o al rinnovo degli stessi - dovrà essere prestata “</w:t>
      </w:r>
      <w:r w:rsidR="009903C3" w:rsidRPr="007D1DFE">
        <w:rPr>
          <w:rFonts w:ascii="Times New Roman" w:eastAsia="Times New Roman" w:hAnsi="Times New Roman" w:cs="Times New Roman"/>
          <w:i/>
          <w:sz w:val="24"/>
          <w:szCs w:val="24"/>
          <w:lang w:eastAsia="it-IT"/>
        </w:rPr>
        <w:t>particolare attenzione ai processi di analisi e definizione dei fabbisogni</w:t>
      </w:r>
      <w:r w:rsidR="009903C3" w:rsidRPr="007D1DFE">
        <w:rPr>
          <w:rFonts w:ascii="Times New Roman" w:eastAsia="Times New Roman" w:hAnsi="Times New Roman" w:cs="Times New Roman"/>
          <w:sz w:val="24"/>
          <w:szCs w:val="24"/>
          <w:lang w:eastAsia="it-IT"/>
        </w:rPr>
        <w:t>”, in modo da evitare l’insorgenza di urgenze</w:t>
      </w:r>
      <w:r w:rsidRPr="007D1DFE">
        <w:rPr>
          <w:rFonts w:ascii="Times New Roman" w:eastAsia="Times New Roman" w:hAnsi="Times New Roman" w:cs="Times New Roman"/>
          <w:sz w:val="24"/>
          <w:szCs w:val="24"/>
          <w:lang w:eastAsia="it-IT"/>
        </w:rPr>
        <w:t>.</w:t>
      </w:r>
    </w:p>
    <w:p w:rsidR="003662E6" w:rsidRPr="007D1DFE" w:rsidRDefault="00EC4F34"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r>
      <w:r w:rsidR="00FA215C" w:rsidRPr="007D1DFE">
        <w:rPr>
          <w:rFonts w:ascii="Times New Roman" w:eastAsia="Times New Roman" w:hAnsi="Times New Roman" w:cs="Times New Roman"/>
          <w:sz w:val="24"/>
          <w:szCs w:val="24"/>
          <w:lang w:eastAsia="it-IT"/>
        </w:rPr>
        <w:t>I</w:t>
      </w:r>
      <w:r w:rsidR="009903C3" w:rsidRPr="007D1DFE">
        <w:rPr>
          <w:rFonts w:ascii="Times New Roman" w:eastAsia="Times New Roman" w:hAnsi="Times New Roman" w:cs="Times New Roman"/>
          <w:sz w:val="24"/>
          <w:szCs w:val="24"/>
          <w:lang w:eastAsia="it-IT"/>
        </w:rPr>
        <w:t>n tal</w:t>
      </w:r>
      <w:r w:rsidR="00FA215C" w:rsidRPr="007D1DFE">
        <w:rPr>
          <w:rFonts w:ascii="Times New Roman" w:eastAsia="Times New Roman" w:hAnsi="Times New Roman" w:cs="Times New Roman"/>
          <w:sz w:val="24"/>
          <w:szCs w:val="24"/>
          <w:lang w:eastAsia="it-IT"/>
        </w:rPr>
        <w:t>e</w:t>
      </w:r>
      <w:r w:rsidR="009903C3" w:rsidRPr="007D1DFE">
        <w:rPr>
          <w:rFonts w:ascii="Times New Roman" w:eastAsia="Times New Roman" w:hAnsi="Times New Roman" w:cs="Times New Roman"/>
          <w:sz w:val="24"/>
          <w:szCs w:val="24"/>
          <w:lang w:eastAsia="it-IT"/>
        </w:rPr>
        <w:t xml:space="preserve"> ottica, ciascuna struttura a responsabilità dirigenziale che preveda di dover effettuare de</w:t>
      </w:r>
      <w:r w:rsidR="00924BAE" w:rsidRPr="007D1DFE">
        <w:rPr>
          <w:rFonts w:ascii="Times New Roman" w:eastAsia="Times New Roman" w:hAnsi="Times New Roman" w:cs="Times New Roman"/>
          <w:sz w:val="24"/>
          <w:szCs w:val="24"/>
          <w:lang w:eastAsia="it-IT"/>
        </w:rPr>
        <w:t>lle acquisizioni di beni e servizi n</w:t>
      </w:r>
      <w:r w:rsidR="009903C3" w:rsidRPr="007D1DFE">
        <w:rPr>
          <w:rFonts w:ascii="Times New Roman" w:eastAsia="Times New Roman" w:hAnsi="Times New Roman" w:cs="Times New Roman"/>
          <w:sz w:val="24"/>
          <w:szCs w:val="24"/>
          <w:lang w:eastAsia="it-IT"/>
        </w:rPr>
        <w:t>el corso dell’anno successivo dovrà darne indicazione - unitamente a tutte le informazioni correlate - in un documento da inviare annualmente, entro il 30</w:t>
      </w:r>
      <w:r w:rsidRPr="007D1DFE">
        <w:rPr>
          <w:rFonts w:ascii="Times New Roman" w:eastAsia="Times New Roman" w:hAnsi="Times New Roman" w:cs="Times New Roman"/>
          <w:sz w:val="24"/>
          <w:szCs w:val="24"/>
          <w:lang w:eastAsia="it-IT"/>
        </w:rPr>
        <w:t xml:space="preserve"> </w:t>
      </w:r>
      <w:r w:rsidR="009903C3" w:rsidRPr="007D1DFE">
        <w:rPr>
          <w:rFonts w:ascii="Times New Roman" w:eastAsia="Times New Roman" w:hAnsi="Times New Roman" w:cs="Times New Roman"/>
          <w:sz w:val="24"/>
          <w:szCs w:val="24"/>
          <w:lang w:eastAsia="it-IT"/>
        </w:rPr>
        <w:t>settembre,</w:t>
      </w:r>
      <w:r w:rsidR="009903C3" w:rsidRPr="007D1DFE">
        <w:rPr>
          <w:rFonts w:ascii="Times New Roman" w:eastAsia="Times New Roman" w:hAnsi="Times New Roman" w:cs="Times New Roman"/>
          <w:b/>
          <w:sz w:val="24"/>
          <w:szCs w:val="24"/>
          <w:lang w:eastAsia="it-IT"/>
        </w:rPr>
        <w:t xml:space="preserve"> </w:t>
      </w:r>
      <w:r w:rsidR="009903C3" w:rsidRPr="007D1DFE">
        <w:rPr>
          <w:rFonts w:ascii="Times New Roman" w:eastAsia="Times New Roman" w:hAnsi="Times New Roman" w:cs="Times New Roman"/>
          <w:sz w:val="24"/>
          <w:szCs w:val="24"/>
          <w:lang w:eastAsia="it-IT"/>
        </w:rPr>
        <w:t xml:space="preserve">al Direttore del relativo Servizio il quale, dopo averle vagliate, provvede </w:t>
      </w:r>
      <w:r w:rsidR="00A45D0E" w:rsidRPr="007D1DFE">
        <w:rPr>
          <w:rFonts w:ascii="Times New Roman" w:eastAsia="Times New Roman" w:hAnsi="Times New Roman" w:cs="Times New Roman"/>
          <w:sz w:val="24"/>
          <w:szCs w:val="24"/>
          <w:lang w:eastAsia="it-IT"/>
        </w:rPr>
        <w:t>a trasmetterle al Direttore del Servizio Tecnico</w:t>
      </w:r>
      <w:r w:rsidR="00E70A00">
        <w:rPr>
          <w:rFonts w:ascii="Times New Roman" w:eastAsia="Times New Roman" w:hAnsi="Times New Roman" w:cs="Times New Roman"/>
          <w:sz w:val="24"/>
          <w:szCs w:val="24"/>
          <w:lang w:eastAsia="it-IT"/>
        </w:rPr>
        <w:t>, in qualità di referente della programmazione in argomento</w:t>
      </w:r>
      <w:r w:rsidR="00A45D0E" w:rsidRPr="007D1DFE">
        <w:rPr>
          <w:rFonts w:ascii="Times New Roman" w:eastAsia="Times New Roman" w:hAnsi="Times New Roman" w:cs="Times New Roman"/>
          <w:sz w:val="24"/>
          <w:szCs w:val="24"/>
          <w:lang w:eastAsia="it-IT"/>
        </w:rPr>
        <w:t>. Questi, acquisite le valutazioni di competenza da parte del D</w:t>
      </w:r>
      <w:r w:rsidR="009903C3" w:rsidRPr="007D1DFE">
        <w:rPr>
          <w:rFonts w:ascii="Times New Roman" w:eastAsia="Times New Roman" w:hAnsi="Times New Roman" w:cs="Times New Roman"/>
          <w:sz w:val="24"/>
          <w:szCs w:val="24"/>
          <w:lang w:eastAsia="it-IT"/>
        </w:rPr>
        <w:t>irigente competente in materia di bilancio</w:t>
      </w:r>
      <w:r w:rsidR="00A45D0E" w:rsidRPr="007D1DFE">
        <w:rPr>
          <w:rFonts w:ascii="Times New Roman" w:eastAsia="Times New Roman" w:hAnsi="Times New Roman" w:cs="Times New Roman"/>
          <w:sz w:val="24"/>
          <w:szCs w:val="24"/>
          <w:lang w:eastAsia="it-IT"/>
        </w:rPr>
        <w:t>, provvede a redigere</w:t>
      </w:r>
      <w:r w:rsidR="005D4AA8" w:rsidRPr="007D1DFE">
        <w:rPr>
          <w:rFonts w:ascii="Times New Roman" w:eastAsia="Times New Roman" w:hAnsi="Times New Roman" w:cs="Times New Roman"/>
          <w:sz w:val="24"/>
          <w:szCs w:val="24"/>
          <w:lang w:eastAsia="it-IT"/>
        </w:rPr>
        <w:t xml:space="preserve">, entro il </w:t>
      </w:r>
      <w:r w:rsidR="009800D7" w:rsidRPr="007D1DFE">
        <w:rPr>
          <w:rFonts w:ascii="Times New Roman" w:eastAsia="Times New Roman" w:hAnsi="Times New Roman" w:cs="Times New Roman"/>
          <w:sz w:val="24"/>
          <w:szCs w:val="24"/>
          <w:lang w:eastAsia="it-IT"/>
        </w:rPr>
        <w:t>15</w:t>
      </w:r>
      <w:r w:rsidR="005D4AA8" w:rsidRPr="007D1DFE">
        <w:rPr>
          <w:rFonts w:ascii="Times New Roman" w:eastAsia="Times New Roman" w:hAnsi="Times New Roman" w:cs="Times New Roman"/>
          <w:sz w:val="24"/>
          <w:szCs w:val="24"/>
          <w:lang w:eastAsia="it-IT"/>
        </w:rPr>
        <w:t xml:space="preserve"> ottobre, l</w:t>
      </w:r>
      <w:r w:rsidR="00924BAE" w:rsidRPr="007D1DFE">
        <w:rPr>
          <w:rFonts w:ascii="Times New Roman" w:eastAsia="Times New Roman" w:hAnsi="Times New Roman" w:cs="Times New Roman"/>
          <w:sz w:val="24"/>
          <w:szCs w:val="24"/>
          <w:lang w:eastAsia="it-IT"/>
        </w:rPr>
        <w:t xml:space="preserve">e </w:t>
      </w:r>
      <w:r w:rsidR="005D4AA8" w:rsidRPr="007D1DFE">
        <w:rPr>
          <w:rFonts w:ascii="Times New Roman" w:eastAsia="Times New Roman" w:hAnsi="Times New Roman" w:cs="Times New Roman"/>
          <w:sz w:val="24"/>
          <w:szCs w:val="24"/>
          <w:lang w:eastAsia="it-IT"/>
        </w:rPr>
        <w:t>propost</w:t>
      </w:r>
      <w:r w:rsidR="00924BAE" w:rsidRPr="007D1DFE">
        <w:rPr>
          <w:rFonts w:ascii="Times New Roman" w:eastAsia="Times New Roman" w:hAnsi="Times New Roman" w:cs="Times New Roman"/>
          <w:sz w:val="24"/>
          <w:szCs w:val="24"/>
          <w:lang w:eastAsia="it-IT"/>
        </w:rPr>
        <w:t>e</w:t>
      </w:r>
      <w:r w:rsidR="005D4AA8" w:rsidRPr="007D1DFE">
        <w:rPr>
          <w:rFonts w:ascii="Times New Roman" w:eastAsia="Times New Roman" w:hAnsi="Times New Roman" w:cs="Times New Roman"/>
          <w:sz w:val="24"/>
          <w:szCs w:val="24"/>
          <w:lang w:eastAsia="it-IT"/>
        </w:rPr>
        <w:t xml:space="preserve"> </w:t>
      </w:r>
      <w:r w:rsidR="009800D7" w:rsidRPr="007D1DFE">
        <w:rPr>
          <w:rFonts w:ascii="Times New Roman" w:eastAsia="Times New Roman" w:hAnsi="Times New Roman" w:cs="Times New Roman"/>
          <w:sz w:val="24"/>
          <w:szCs w:val="24"/>
          <w:lang w:eastAsia="it-IT"/>
        </w:rPr>
        <w:t xml:space="preserve">degli atti di programmazione di cui sopra </w:t>
      </w:r>
      <w:r w:rsidR="005D4AA8" w:rsidRPr="007D1DFE">
        <w:rPr>
          <w:rFonts w:ascii="Times New Roman" w:eastAsia="Times New Roman" w:hAnsi="Times New Roman" w:cs="Times New Roman"/>
          <w:sz w:val="24"/>
          <w:szCs w:val="24"/>
          <w:lang w:eastAsia="it-IT"/>
        </w:rPr>
        <w:t>da sottoporre all’esame dell’Ufficio di Presidenza per l’adozione.</w:t>
      </w:r>
      <w:r w:rsidR="009903C3"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heme="majorHAnsi" w:eastAsia="Times New Roman" w:hAnsiTheme="majorHAnsi" w:cstheme="majorHAnsi"/>
          <w:sz w:val="24"/>
          <w:szCs w:val="24"/>
          <w:lang w:eastAsia="it-IT"/>
        </w:rPr>
      </w:pPr>
      <w:r w:rsidRPr="007D1DFE">
        <w:rPr>
          <w:rFonts w:ascii="Times New Roman" w:eastAsia="Times New Roman" w:hAnsi="Times New Roman" w:cs="Times New Roman"/>
          <w:sz w:val="24"/>
          <w:szCs w:val="24"/>
          <w:lang w:eastAsia="it-IT"/>
        </w:rPr>
        <w:t xml:space="preserve">b) </w:t>
      </w:r>
      <w:r w:rsidRPr="007D1DFE">
        <w:rPr>
          <w:rFonts w:ascii="Times New Roman" w:eastAsia="Times New Roman" w:hAnsi="Times New Roman" w:cs="Times New Roman"/>
          <w:b/>
          <w:sz w:val="24"/>
          <w:szCs w:val="24"/>
          <w:lang w:eastAsia="it-IT"/>
        </w:rPr>
        <w:t>fase di progettazione</w:t>
      </w:r>
      <w:r w:rsidRPr="007D1DFE">
        <w:rPr>
          <w:rFonts w:ascii="Times New Roman" w:eastAsia="Times New Roman" w:hAnsi="Times New Roman" w:cs="Times New Roman"/>
          <w:sz w:val="24"/>
          <w:szCs w:val="24"/>
          <w:lang w:eastAsia="it-IT"/>
        </w:rPr>
        <w:t xml:space="preserve">: in tale fase rientrano, in particolare, i </w:t>
      </w:r>
      <w:proofErr w:type="spellStart"/>
      <w:r w:rsidRPr="007D1DFE">
        <w:rPr>
          <w:rFonts w:ascii="Times New Roman" w:eastAsia="Times New Roman" w:hAnsi="Times New Roman" w:cs="Times New Roman"/>
          <w:sz w:val="24"/>
          <w:szCs w:val="24"/>
          <w:lang w:eastAsia="it-IT"/>
        </w:rPr>
        <w:t>sottoprocessi</w:t>
      </w:r>
      <w:proofErr w:type="spellEnd"/>
      <w:r w:rsidRPr="007D1DFE">
        <w:rPr>
          <w:rFonts w:ascii="Times New Roman" w:eastAsia="Times New Roman" w:hAnsi="Times New Roman" w:cs="Times New Roman"/>
          <w:sz w:val="24"/>
          <w:szCs w:val="24"/>
          <w:lang w:eastAsia="it-IT"/>
        </w:rPr>
        <w:t xml:space="preserve"> relativi all’analisi di mercato (propedeutica anche per l’individuazione dei contenuti tecnici e la predisposizione del capitolato e dei documenti di gara), alla nomina del R.U.P., alla determinazione a contrarre (con l’individuazione, tra l’altro, della procedura di scelta del contraente, del criterio di aggiudicazione -offerta economicamente più vantaggiosa o prezzo più basso - e dei criteri per l’attribuzione del punteggio), alla determinazione dell’importo contrattuale, alla definizione dei requisiti per la partecipazione alla gara e all’approvazione dello schema di contratto. Tra le diverse misure ritenute necessarie per gestire i suddetti </w:t>
      </w:r>
      <w:proofErr w:type="spellStart"/>
      <w:r w:rsidRPr="007D1DFE">
        <w:rPr>
          <w:rFonts w:ascii="Times New Roman" w:eastAsia="Times New Roman" w:hAnsi="Times New Roman" w:cs="Times New Roman"/>
          <w:sz w:val="24"/>
          <w:szCs w:val="24"/>
          <w:lang w:eastAsia="it-IT"/>
        </w:rPr>
        <w:t>sottoprocessi</w:t>
      </w:r>
      <w:proofErr w:type="spellEnd"/>
      <w:r w:rsidRPr="007D1DFE">
        <w:rPr>
          <w:rFonts w:ascii="Times New Roman" w:eastAsia="Times New Roman" w:hAnsi="Times New Roman" w:cs="Times New Roman"/>
          <w:sz w:val="24"/>
          <w:szCs w:val="24"/>
          <w:lang w:eastAsia="it-IT"/>
        </w:rPr>
        <w:t xml:space="preserve"> a rischio, si evidenziano, tra le altre </w:t>
      </w:r>
      <w:r w:rsidRPr="007D1DFE">
        <w:rPr>
          <w:rFonts w:ascii="Times New Roman" w:eastAsia="Times New Roman" w:hAnsi="Times New Roman" w:cs="Times New Roman"/>
          <w:sz w:val="24"/>
          <w:szCs w:val="24"/>
          <w:vertAlign w:val="superscript"/>
          <w:lang w:eastAsia="it-IT"/>
        </w:rPr>
        <w:footnoteReference w:id="44"/>
      </w:r>
      <w:r w:rsidRPr="007D1DFE">
        <w:rPr>
          <w:rFonts w:ascii="Times New Roman" w:eastAsia="Times New Roman" w:hAnsi="Times New Roman" w:cs="Times New Roman"/>
          <w:sz w:val="24"/>
          <w:szCs w:val="24"/>
          <w:lang w:eastAsia="it-IT"/>
        </w:rPr>
        <w:t xml:space="preserve">, quella del rispetto del divieto di frazionamento dell’importo contrattuale,  nonché l’utilizzazione di modelli contrattuali e provvedimentali. Con specifico riferimento alle acquisizioni di beni e servizi di importo inferiore alla soglia di rilievo comunitario, si ritiene opportuno evidenziare che, ai sensi dell’articolo 1, comma 450 della legge 27 dicembre 2006, n. 296 (legge finanziaria 2007), le pubbliche amministrazioni diverse da quelle centrali e periferiche dello Stato </w:t>
      </w:r>
      <w:r w:rsidRPr="007D1DFE">
        <w:rPr>
          <w:rFonts w:asciiTheme="majorHAnsi" w:eastAsia="Times New Roman" w:hAnsiTheme="majorHAnsi" w:cstheme="majorHAnsi"/>
          <w:sz w:val="24"/>
          <w:szCs w:val="24"/>
          <w:lang w:eastAsia="it-IT"/>
        </w:rPr>
        <w:t>“</w:t>
      </w:r>
      <w:r w:rsidRPr="007D1DFE">
        <w:rPr>
          <w:rFonts w:asciiTheme="majorHAnsi" w:eastAsia="Times New Roman" w:hAnsiTheme="majorHAnsi" w:cstheme="majorHAnsi"/>
          <w:i/>
          <w:sz w:val="24"/>
          <w:szCs w:val="24"/>
          <w:shd w:val="clear" w:color="auto" w:fill="FFFFFF"/>
          <w:lang w:eastAsia="it-IT"/>
        </w:rPr>
        <w:t>sono tenute a fare ricorso al mercato elettronico della pubblica amministrazione ovvero ad altri mercati elettronici ……. ovvero al sistema telematico messo a disposizione dalla centrale regionale di riferimento per lo svolgimento delle relative procedure ….</w:t>
      </w:r>
      <w:r w:rsidRPr="007D1DFE">
        <w:rPr>
          <w:rFonts w:asciiTheme="majorHAnsi" w:eastAsia="Times New Roman" w:hAnsiTheme="majorHAnsi" w:cstheme="majorHAnsi"/>
          <w:sz w:val="24"/>
          <w:szCs w:val="24"/>
          <w:shd w:val="clear" w:color="auto" w:fill="FFFFFF"/>
          <w:lang w:eastAsia="it-IT"/>
        </w:rPr>
        <w:t xml:space="preserve">”. Pertanto, nell’eventualità di acquisizione </w:t>
      </w:r>
      <w:r w:rsidRPr="007D1DFE">
        <w:rPr>
          <w:rFonts w:ascii="Times New Roman" w:eastAsia="Times New Roman" w:hAnsi="Times New Roman" w:cs="Times New Roman"/>
          <w:sz w:val="24"/>
          <w:szCs w:val="24"/>
          <w:lang w:eastAsia="it-IT"/>
        </w:rPr>
        <w:t>di beni e servizi per un importo inferiore alla soglia di rilievo comunitario</w:t>
      </w:r>
      <w:r w:rsidRPr="007D1DFE">
        <w:rPr>
          <w:rFonts w:asciiTheme="majorHAnsi" w:eastAsia="Times New Roman" w:hAnsiTheme="majorHAnsi" w:cstheme="majorHAnsi"/>
          <w:sz w:val="24"/>
          <w:szCs w:val="24"/>
          <w:shd w:val="clear" w:color="auto" w:fill="FFFFFF"/>
          <w:lang w:eastAsia="it-IT"/>
        </w:rPr>
        <w:t xml:space="preserve"> che non possa avvenire tramite i menzionati mercati elettronici o sistemi telematici, il relativo provvedimento dirigenziale dovrà puntualmente dar conto dei motivi che hanno impedito di seguire tale procedura</w:t>
      </w:r>
      <w:r w:rsidRPr="007D1DFE">
        <w:rPr>
          <w:rFonts w:asciiTheme="majorHAnsi" w:eastAsia="Times New Roman" w:hAnsiTheme="majorHAnsi" w:cstheme="majorHAnsi"/>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u w:val="single"/>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c) </w:t>
      </w:r>
      <w:r w:rsidRPr="007D1DFE">
        <w:rPr>
          <w:rFonts w:ascii="Times New Roman" w:eastAsia="Times New Roman" w:hAnsi="Times New Roman" w:cs="Times New Roman"/>
          <w:b/>
          <w:sz w:val="24"/>
          <w:szCs w:val="24"/>
          <w:lang w:eastAsia="it-IT"/>
        </w:rPr>
        <w:t>fase di selezione del contraente</w:t>
      </w:r>
      <w:r w:rsidRPr="007D1DFE">
        <w:rPr>
          <w:rFonts w:ascii="Times New Roman" w:eastAsia="Times New Roman" w:hAnsi="Times New Roman" w:cs="Times New Roman"/>
          <w:sz w:val="24"/>
          <w:szCs w:val="24"/>
          <w:lang w:eastAsia="it-IT"/>
        </w:rPr>
        <w:t xml:space="preserve">: i </w:t>
      </w:r>
      <w:proofErr w:type="spellStart"/>
      <w:r w:rsidRPr="007D1DFE">
        <w:rPr>
          <w:rFonts w:ascii="Times New Roman" w:eastAsia="Times New Roman" w:hAnsi="Times New Roman" w:cs="Times New Roman"/>
          <w:sz w:val="24"/>
          <w:szCs w:val="24"/>
          <w:lang w:eastAsia="it-IT"/>
        </w:rPr>
        <w:t>sottoprocessi</w:t>
      </w:r>
      <w:proofErr w:type="spellEnd"/>
      <w:r w:rsidRPr="007D1DFE">
        <w:rPr>
          <w:rFonts w:ascii="Times New Roman" w:eastAsia="Times New Roman" w:hAnsi="Times New Roman" w:cs="Times New Roman"/>
          <w:sz w:val="24"/>
          <w:szCs w:val="24"/>
          <w:lang w:eastAsia="it-IT"/>
        </w:rPr>
        <w:t xml:space="preserve"> ascrivibili a questa fase attengono, in particolare, alla pubblicazione del bando, alla fissazione del termine per la presentazione delle offerte, al trattamento e alla custodia dei documenti attinenti la gara, alla nomina della commissione di gara, alla verifica dei requisiti di partecipazione, alla gestione delle sedute di gara, alla valutazione delle offerte e verifica di eventuali anomalie, all’aggiudicazione provvisoria, all’eventuale annullamento o revoca della gara. Tra le misure da adottare, per quanto concerne le procedure negoziate, si evidenzia la necessità del più scrupoloso rispetto del principio di rotazione degli operatori economici, evitando in tal modo anche il consolidamento di rapporti solo con alcuni di essi</w:t>
      </w:r>
      <w:r w:rsidR="00A12C7C"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vertAlign w:val="superscript"/>
          <w:lang w:eastAsia="it-IT"/>
        </w:rPr>
        <w:footnoteReference w:id="45"/>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 xml:space="preserve">d) </w:t>
      </w:r>
      <w:r w:rsidRPr="007D1DFE">
        <w:rPr>
          <w:rFonts w:ascii="Times New Roman" w:eastAsia="Times New Roman" w:hAnsi="Times New Roman" w:cs="Times New Roman"/>
          <w:b/>
          <w:sz w:val="24"/>
          <w:szCs w:val="24"/>
          <w:lang w:eastAsia="it-IT"/>
        </w:rPr>
        <w:t>fase di verifica dell’aggiudicazione e stipula del contratto</w:t>
      </w:r>
      <w:r w:rsidRPr="007D1DFE">
        <w:rPr>
          <w:rFonts w:ascii="Times New Roman" w:eastAsia="Times New Roman" w:hAnsi="Times New Roman" w:cs="Times New Roman"/>
          <w:sz w:val="24"/>
          <w:szCs w:val="24"/>
          <w:lang w:eastAsia="it-IT"/>
        </w:rPr>
        <w:t>: attengono a tale fase, in particolare, la verifica dei requisiti generali e speciali di partecipazione in capo all’aggiudicatario ai fini della stipula del contratto, l’effettuazione delle comunicazioni riguardanti i mancati inviti e le esclusioni, la formalizzazione dell’aggiudicazione definitiva e la stipula del contratto</w:t>
      </w:r>
      <w:r w:rsidR="00405720"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vertAlign w:val="superscript"/>
          <w:lang w:eastAsia="it-IT"/>
        </w:rPr>
        <w:footnoteReference w:id="46"/>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e) </w:t>
      </w:r>
      <w:r w:rsidRPr="007D1DFE">
        <w:rPr>
          <w:rFonts w:ascii="Times New Roman" w:eastAsia="Times New Roman" w:hAnsi="Times New Roman" w:cs="Times New Roman"/>
          <w:b/>
          <w:sz w:val="24"/>
          <w:szCs w:val="24"/>
          <w:lang w:eastAsia="it-IT"/>
        </w:rPr>
        <w:t>fase di esecuzione del contratto</w:t>
      </w:r>
      <w:r w:rsidRPr="007D1DFE">
        <w:rPr>
          <w:rFonts w:ascii="Times New Roman" w:eastAsia="Times New Roman" w:hAnsi="Times New Roman" w:cs="Times New Roman"/>
          <w:sz w:val="24"/>
          <w:szCs w:val="24"/>
          <w:lang w:eastAsia="it-IT"/>
        </w:rPr>
        <w:t xml:space="preserve">: ai fini dei rischi corruttivi rilevano particolarmente le eventuali modifiche del contratto originario, l’autorizzazione dell’affidamento in subappalto o in cottimo, l’ammissione delle varianti, la verifica delle disposizioni in materia di sicurezza, con particolare riferimento al rispetto delle prescrizioni contenute nel Piano di Sicurezza e Coordinamento (PSC) o al Documento Unico di Valutazione dei Rischi Interferenziali (DUVRI), la verifica della corretta esecuzione dei contratti e i conseguenti pagamenti </w:t>
      </w:r>
      <w:r w:rsidRPr="007D1DFE">
        <w:rPr>
          <w:rFonts w:ascii="Times New Roman" w:eastAsia="Times New Roman" w:hAnsi="Times New Roman" w:cs="Times New Roman"/>
          <w:sz w:val="24"/>
          <w:szCs w:val="24"/>
          <w:vertAlign w:val="superscript"/>
          <w:lang w:eastAsia="it-IT"/>
        </w:rPr>
        <w:footnoteReference w:id="47"/>
      </w:r>
      <w:r w:rsidRPr="007D1DFE">
        <w:rPr>
          <w:rFonts w:ascii="Times New Roman" w:eastAsia="Times New Roman" w:hAnsi="Times New Roman" w:cs="Times New Roman"/>
          <w:sz w:val="24"/>
          <w:szCs w:val="24"/>
          <w:lang w:eastAsia="it-IT"/>
        </w:rPr>
        <w:t>. In particolare, attraverso la scrupolosa vigilanza sulla corretta esecuzione dei contratti, potrà essere possibile la formulazione di contestazioni in caso di inadempienze da parte del soggetto aggiudicatario, così da poter procedere all’applicazione delle penali o alla richiesta della risoluzione in danno del contratto;</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f) </w:t>
      </w:r>
      <w:r w:rsidRPr="007D1DFE">
        <w:rPr>
          <w:rFonts w:ascii="Times New Roman" w:eastAsia="Times New Roman" w:hAnsi="Times New Roman" w:cs="Times New Roman"/>
          <w:b/>
          <w:sz w:val="24"/>
          <w:szCs w:val="24"/>
          <w:lang w:eastAsia="it-IT"/>
        </w:rPr>
        <w:t>fase di rendicontazione del contratto</w:t>
      </w:r>
      <w:r w:rsidRPr="007D1DFE">
        <w:rPr>
          <w:rFonts w:ascii="Times New Roman" w:eastAsia="Times New Roman" w:hAnsi="Times New Roman" w:cs="Times New Roman"/>
          <w:sz w:val="24"/>
          <w:szCs w:val="24"/>
          <w:lang w:eastAsia="it-IT"/>
        </w:rPr>
        <w:t xml:space="preserve">: comporta la verifica, da parte del collaudatore ovvero del responsabile del procedimento, della conformità o regolare esecuzione dell’opera o della prestazione </w:t>
      </w:r>
      <w:r w:rsidRPr="007D1DFE">
        <w:rPr>
          <w:rFonts w:ascii="Times New Roman" w:eastAsia="Times New Roman" w:hAnsi="Times New Roman" w:cs="Times New Roman"/>
          <w:sz w:val="24"/>
          <w:szCs w:val="24"/>
          <w:vertAlign w:val="superscript"/>
          <w:lang w:eastAsia="it-IT"/>
        </w:rPr>
        <w:footnoteReference w:id="48"/>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38775C" w:rsidRPr="007D1DFE" w:rsidRDefault="00BC6FE9"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 xml:space="preserve">2.6.3. Le Linee guida </w:t>
      </w:r>
      <w:proofErr w:type="spellStart"/>
      <w:r w:rsidRPr="007D1DFE">
        <w:rPr>
          <w:rFonts w:ascii="Times New Roman" w:eastAsia="Times New Roman" w:hAnsi="Times New Roman" w:cs="Times New Roman"/>
          <w:b/>
          <w:sz w:val="24"/>
          <w:szCs w:val="24"/>
          <w:lang w:eastAsia="it-IT"/>
        </w:rPr>
        <w:t>Anac</w:t>
      </w:r>
      <w:proofErr w:type="spellEnd"/>
      <w:r w:rsidRPr="007D1DFE">
        <w:rPr>
          <w:rFonts w:ascii="Times New Roman" w:eastAsia="Times New Roman" w:hAnsi="Times New Roman" w:cs="Times New Roman"/>
          <w:b/>
          <w:sz w:val="24"/>
          <w:szCs w:val="24"/>
          <w:lang w:eastAsia="it-IT"/>
        </w:rPr>
        <w:t xml:space="preserve"> in attuazione del d.lgs. 50/2016. </w:t>
      </w:r>
      <w:r w:rsidR="001B1B94" w:rsidRPr="007D1DFE">
        <w:rPr>
          <w:rFonts w:ascii="Times New Roman" w:eastAsia="Times New Roman" w:hAnsi="Times New Roman" w:cs="Times New Roman"/>
          <w:b/>
          <w:sz w:val="24"/>
          <w:szCs w:val="24"/>
          <w:lang w:eastAsia="it-IT"/>
        </w:rPr>
        <w:t xml:space="preserve"> </w:t>
      </w:r>
      <w:r w:rsidRPr="007D1DFE">
        <w:rPr>
          <w:rFonts w:ascii="Times New Roman" w:eastAsia="Times New Roman" w:hAnsi="Times New Roman" w:cs="Times New Roman"/>
          <w:sz w:val="24"/>
          <w:szCs w:val="24"/>
          <w:lang w:eastAsia="it-IT"/>
        </w:rPr>
        <w:t xml:space="preserve">Il d.lgs. 50/2016, concernente il nuovo Codice degli appalti e delle concessioni, ha </w:t>
      </w:r>
      <w:r w:rsidR="0038775C" w:rsidRPr="007D1DFE">
        <w:rPr>
          <w:rFonts w:ascii="Times New Roman" w:eastAsia="Times New Roman" w:hAnsi="Times New Roman" w:cs="Times New Roman"/>
          <w:sz w:val="24"/>
          <w:szCs w:val="24"/>
          <w:lang w:eastAsia="it-IT"/>
        </w:rPr>
        <w:t>demandato all’ANAC l’adozione di una serie di linee guida volte a disciplinare più in dettaglio una serie di istituti o di previsioni a carattere generale presenti nel suddetto decreto legislativo.</w:t>
      </w:r>
    </w:p>
    <w:p w:rsidR="00BC6FE9" w:rsidRPr="007D1DFE" w:rsidRDefault="0038775C"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Conseguentemente, l’ANAC ha adottato le:</w:t>
      </w:r>
    </w:p>
    <w:p w:rsidR="00BC6FE9" w:rsidRPr="007D1DFE" w:rsidRDefault="00BC6FE9"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Linee guida n. 1, recanti “</w:t>
      </w:r>
      <w:r w:rsidRPr="007D1DFE">
        <w:rPr>
          <w:rFonts w:ascii="Times New Roman" w:eastAsia="Times New Roman" w:hAnsi="Times New Roman" w:cs="Times New Roman"/>
          <w:i/>
          <w:sz w:val="24"/>
          <w:szCs w:val="24"/>
          <w:lang w:eastAsia="it-IT"/>
        </w:rPr>
        <w:t>Indirizzi generali sull’affidamento dei servizi attinenti all’architettura e all’ingegneria</w:t>
      </w:r>
      <w:r w:rsidRPr="007D1DFE">
        <w:rPr>
          <w:rFonts w:ascii="Times New Roman" w:eastAsia="Times New Roman" w:hAnsi="Times New Roman" w:cs="Times New Roman"/>
          <w:sz w:val="24"/>
          <w:szCs w:val="24"/>
          <w:lang w:eastAsia="it-IT"/>
        </w:rPr>
        <w:t>” (Delibera   n. 973 del 14 settembre 2016);</w:t>
      </w:r>
    </w:p>
    <w:p w:rsidR="00BC6FE9" w:rsidRPr="007D1DFE" w:rsidRDefault="00BC6FE9"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Linee guida n. 2, recanti “</w:t>
      </w:r>
      <w:r w:rsidRPr="007D1DFE">
        <w:rPr>
          <w:rFonts w:ascii="Times New Roman" w:eastAsia="Times New Roman" w:hAnsi="Times New Roman" w:cs="Times New Roman"/>
          <w:i/>
          <w:sz w:val="24"/>
          <w:szCs w:val="24"/>
          <w:lang w:eastAsia="it-IT"/>
        </w:rPr>
        <w:t>Offerta economicamente più vantaggiosa</w:t>
      </w:r>
      <w:r w:rsidRPr="007D1DFE">
        <w:rPr>
          <w:rFonts w:ascii="Times New Roman" w:eastAsia="Times New Roman" w:hAnsi="Times New Roman" w:cs="Times New Roman"/>
          <w:sz w:val="24"/>
          <w:szCs w:val="24"/>
          <w:lang w:eastAsia="it-IT"/>
        </w:rPr>
        <w:t>” (Delibera n. 1005 del 21 settembre 2016);</w:t>
      </w:r>
    </w:p>
    <w:p w:rsidR="00BC6FE9" w:rsidRPr="007D1DFE" w:rsidRDefault="00BC6FE9"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Linee guida n. 3, “</w:t>
      </w:r>
      <w:r w:rsidRPr="007D1DFE">
        <w:rPr>
          <w:rFonts w:ascii="Times New Roman" w:eastAsia="Times New Roman" w:hAnsi="Times New Roman" w:cs="Times New Roman"/>
          <w:i/>
          <w:sz w:val="24"/>
          <w:szCs w:val="24"/>
          <w:lang w:eastAsia="it-IT"/>
        </w:rPr>
        <w:t>Nomina, ruolo e compiti del responsabile unico del procedimento per l’affidamento di appalti e concessioni</w:t>
      </w:r>
      <w:r w:rsidRPr="007D1DFE">
        <w:rPr>
          <w:rFonts w:ascii="Times New Roman" w:eastAsia="Times New Roman" w:hAnsi="Times New Roman" w:cs="Times New Roman"/>
          <w:sz w:val="24"/>
          <w:szCs w:val="24"/>
          <w:lang w:eastAsia="it-IT"/>
        </w:rPr>
        <w:t>”</w:t>
      </w:r>
      <w:r w:rsidR="00157F3C" w:rsidRPr="007D1DFE">
        <w:rPr>
          <w:rFonts w:ascii="Times New Roman" w:eastAsia="Times New Roman" w:hAnsi="Times New Roman" w:cs="Times New Roman"/>
          <w:sz w:val="24"/>
          <w:szCs w:val="24"/>
          <w:lang w:eastAsia="it-IT"/>
        </w:rPr>
        <w:t xml:space="preserve"> (Delibera n. 1096 del 26 ottobre 2016)</w:t>
      </w:r>
      <w:r w:rsidRPr="007D1DFE">
        <w:rPr>
          <w:rFonts w:ascii="Times New Roman" w:eastAsia="Times New Roman" w:hAnsi="Times New Roman" w:cs="Times New Roman"/>
          <w:sz w:val="24"/>
          <w:szCs w:val="24"/>
          <w:lang w:eastAsia="it-IT"/>
        </w:rPr>
        <w:t>;</w:t>
      </w:r>
    </w:p>
    <w:p w:rsidR="00BC6FE9" w:rsidRPr="007D1DFE" w:rsidRDefault="00BC6FE9"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Linee guida n. 4, recanti “</w:t>
      </w:r>
      <w:r w:rsidRPr="007D1DFE">
        <w:rPr>
          <w:rFonts w:ascii="Times New Roman" w:eastAsia="Times New Roman" w:hAnsi="Times New Roman" w:cs="Times New Roman"/>
          <w:i/>
          <w:sz w:val="24"/>
          <w:szCs w:val="24"/>
          <w:lang w:eastAsia="it-IT"/>
        </w:rPr>
        <w:t>Procedure per l’affidamento dei contratti pubblici di importo inferiore alle soglie di rilevanza comunitaria, indagini di mercato e formazione e gestione degli elenchi di operatori economici</w:t>
      </w:r>
      <w:r w:rsidRPr="007D1DFE">
        <w:rPr>
          <w:rFonts w:ascii="Times New Roman" w:eastAsia="Times New Roman" w:hAnsi="Times New Roman" w:cs="Times New Roman"/>
          <w:sz w:val="24"/>
          <w:szCs w:val="24"/>
          <w:lang w:eastAsia="it-IT"/>
        </w:rPr>
        <w:t>”</w:t>
      </w:r>
      <w:r w:rsidR="00157F3C" w:rsidRPr="007D1DFE">
        <w:rPr>
          <w:rFonts w:ascii="Times New Roman" w:eastAsia="Times New Roman" w:hAnsi="Times New Roman" w:cs="Times New Roman"/>
          <w:sz w:val="24"/>
          <w:szCs w:val="24"/>
          <w:lang w:eastAsia="it-IT"/>
        </w:rPr>
        <w:t xml:space="preserve"> (Delibera n. 1097 del 26 ottobre 2016)</w:t>
      </w:r>
      <w:r w:rsidRPr="007D1DFE">
        <w:rPr>
          <w:rFonts w:ascii="Times New Roman" w:eastAsia="Times New Roman" w:hAnsi="Times New Roman" w:cs="Times New Roman"/>
          <w:sz w:val="24"/>
          <w:szCs w:val="24"/>
          <w:lang w:eastAsia="it-IT"/>
        </w:rPr>
        <w:t>;</w:t>
      </w:r>
    </w:p>
    <w:p w:rsidR="00BC6FE9" w:rsidRPr="007D1DFE" w:rsidRDefault="00BC6FE9"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Linee guida n. 5, recanti “</w:t>
      </w:r>
      <w:r w:rsidRPr="007D1DFE">
        <w:rPr>
          <w:rFonts w:ascii="Times New Roman" w:eastAsia="Times New Roman" w:hAnsi="Times New Roman" w:cs="Times New Roman"/>
          <w:i/>
          <w:sz w:val="24"/>
          <w:szCs w:val="24"/>
          <w:lang w:eastAsia="it-IT"/>
        </w:rPr>
        <w:t>Criteri di scelta dei commissari di gara e di iscrizione degli esperti nell’Albo nazionale obbligatorio dei componenti delle commissioni giudicatrici”</w:t>
      </w:r>
      <w:r w:rsidR="00157F3C" w:rsidRPr="007D1DFE">
        <w:rPr>
          <w:rFonts w:ascii="Times New Roman" w:eastAsia="Times New Roman" w:hAnsi="Times New Roman" w:cs="Times New Roman"/>
          <w:i/>
          <w:sz w:val="24"/>
          <w:szCs w:val="24"/>
          <w:lang w:eastAsia="it-IT"/>
        </w:rPr>
        <w:t xml:space="preserve"> </w:t>
      </w:r>
      <w:r w:rsidR="00157F3C" w:rsidRPr="007D1DFE">
        <w:rPr>
          <w:rFonts w:ascii="Times New Roman" w:eastAsia="Times New Roman" w:hAnsi="Times New Roman" w:cs="Times New Roman"/>
          <w:sz w:val="24"/>
          <w:szCs w:val="24"/>
          <w:lang w:eastAsia="it-IT"/>
        </w:rPr>
        <w:t>(Delibera n. 1190 del 16 novembre 2016)</w:t>
      </w:r>
      <w:r w:rsidRPr="007D1DFE">
        <w:rPr>
          <w:rFonts w:ascii="Times New Roman" w:eastAsia="Times New Roman" w:hAnsi="Times New Roman" w:cs="Times New Roman"/>
          <w:sz w:val="24"/>
          <w:szCs w:val="24"/>
          <w:lang w:eastAsia="it-IT"/>
        </w:rPr>
        <w:t>;</w:t>
      </w:r>
    </w:p>
    <w:p w:rsidR="00BC6FE9" w:rsidRPr="007D1DFE" w:rsidRDefault="00BC6FE9"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Linee guida n. 6, recanti “</w:t>
      </w:r>
      <w:r w:rsidRPr="007D1DFE">
        <w:rPr>
          <w:rFonts w:ascii="Times New Roman" w:eastAsia="Times New Roman" w:hAnsi="Times New Roman" w:cs="Times New Roman"/>
          <w:i/>
          <w:sz w:val="24"/>
          <w:szCs w:val="24"/>
          <w:lang w:eastAsia="it-IT"/>
        </w:rPr>
        <w:t xml:space="preserve">Indicazione dei mezzi di prova adeguati e delle carenze nell’esecuzione di un precedente contratto di appalto che possano considerarsi significative per la dimostrazione delle circostanze di esclusione di cui all’art. 80, comma 5, </w:t>
      </w:r>
      <w:proofErr w:type="spellStart"/>
      <w:r w:rsidRPr="007D1DFE">
        <w:rPr>
          <w:rFonts w:ascii="Times New Roman" w:eastAsia="Times New Roman" w:hAnsi="Times New Roman" w:cs="Times New Roman"/>
          <w:i/>
          <w:sz w:val="24"/>
          <w:szCs w:val="24"/>
          <w:lang w:eastAsia="it-IT"/>
        </w:rPr>
        <w:t>lett</w:t>
      </w:r>
      <w:proofErr w:type="spellEnd"/>
      <w:r w:rsidRPr="007D1DFE">
        <w:rPr>
          <w:rFonts w:ascii="Times New Roman" w:eastAsia="Times New Roman" w:hAnsi="Times New Roman" w:cs="Times New Roman"/>
          <w:i/>
          <w:sz w:val="24"/>
          <w:szCs w:val="24"/>
          <w:lang w:eastAsia="it-IT"/>
        </w:rPr>
        <w:t>. c) del Codice</w:t>
      </w:r>
      <w:r w:rsidRPr="007D1DFE">
        <w:rPr>
          <w:rFonts w:ascii="Times New Roman" w:eastAsia="Times New Roman" w:hAnsi="Times New Roman" w:cs="Times New Roman"/>
          <w:sz w:val="24"/>
          <w:szCs w:val="24"/>
          <w:lang w:eastAsia="it-IT"/>
        </w:rPr>
        <w:t>”</w:t>
      </w:r>
      <w:r w:rsidR="00157F3C" w:rsidRPr="007D1DFE">
        <w:rPr>
          <w:rFonts w:ascii="Times New Roman" w:eastAsia="Times New Roman" w:hAnsi="Times New Roman" w:cs="Times New Roman"/>
          <w:sz w:val="24"/>
          <w:szCs w:val="24"/>
          <w:lang w:eastAsia="it-IT"/>
        </w:rPr>
        <w:t xml:space="preserve"> (Delibera n. 1190 del 16 novembre 2016)</w:t>
      </w:r>
      <w:r w:rsidR="00FB4A15" w:rsidRPr="007D1DFE">
        <w:rPr>
          <w:rFonts w:ascii="Times New Roman" w:eastAsia="Times New Roman" w:hAnsi="Times New Roman" w:cs="Times New Roman"/>
          <w:sz w:val="24"/>
          <w:szCs w:val="24"/>
          <w:lang w:eastAsia="it-IT"/>
        </w:rPr>
        <w:t>;</w:t>
      </w:r>
    </w:p>
    <w:p w:rsidR="00FB4A15" w:rsidRPr="007D1DFE" w:rsidRDefault="00FB4A15"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Linee guida n. 7, recanti</w:t>
      </w:r>
      <w:r w:rsidRPr="007D1DFE">
        <w:rPr>
          <w:rFonts w:ascii="Times New Roman" w:eastAsia="Times New Roman" w:hAnsi="Times New Roman" w:cs="Times New Roman"/>
          <w:bCs/>
          <w:sz w:val="24"/>
          <w:szCs w:val="24"/>
          <w:lang w:eastAsia="it-IT"/>
        </w:rPr>
        <w:t> </w:t>
      </w:r>
      <w:r w:rsidR="00F904AD" w:rsidRPr="007D1DFE">
        <w:rPr>
          <w:rFonts w:ascii="Times New Roman" w:eastAsia="Times New Roman" w:hAnsi="Times New Roman" w:cs="Times New Roman"/>
          <w:bCs/>
          <w:sz w:val="24"/>
          <w:szCs w:val="24"/>
          <w:lang w:eastAsia="it-IT"/>
        </w:rPr>
        <w:t>“</w:t>
      </w:r>
      <w:r w:rsidRPr="007D1DFE">
        <w:rPr>
          <w:rFonts w:ascii="Times New Roman" w:eastAsia="Times New Roman" w:hAnsi="Times New Roman" w:cs="Times New Roman"/>
          <w:i/>
          <w:sz w:val="24"/>
          <w:szCs w:val="24"/>
          <w:lang w:eastAsia="it-IT"/>
        </w:rPr>
        <w:t>Linee Guida per l’iscrizione nell’Elenco delle amministrazioni aggiudicatrici e degli enti aggiudicatori che operano mediante affidamenti diretti nei confronti di proprie società </w:t>
      </w:r>
      <w:r w:rsidRPr="007D1DFE">
        <w:rPr>
          <w:rFonts w:ascii="Times New Roman" w:eastAsia="Times New Roman" w:hAnsi="Times New Roman" w:cs="Times New Roman"/>
          <w:i/>
          <w:iCs/>
          <w:sz w:val="24"/>
          <w:szCs w:val="24"/>
          <w:lang w:eastAsia="it-IT"/>
        </w:rPr>
        <w:t xml:space="preserve">in </w:t>
      </w:r>
      <w:proofErr w:type="spellStart"/>
      <w:r w:rsidRPr="007D1DFE">
        <w:rPr>
          <w:rFonts w:ascii="Times New Roman" w:eastAsia="Times New Roman" w:hAnsi="Times New Roman" w:cs="Times New Roman"/>
          <w:i/>
          <w:iCs/>
          <w:sz w:val="24"/>
          <w:szCs w:val="24"/>
          <w:lang w:eastAsia="it-IT"/>
        </w:rPr>
        <w:t>house</w:t>
      </w:r>
      <w:proofErr w:type="spellEnd"/>
      <w:r w:rsidRPr="007D1DFE">
        <w:rPr>
          <w:rFonts w:ascii="Times New Roman" w:eastAsia="Times New Roman" w:hAnsi="Times New Roman" w:cs="Times New Roman"/>
          <w:i/>
          <w:sz w:val="24"/>
          <w:szCs w:val="24"/>
          <w:lang w:eastAsia="it-IT"/>
        </w:rPr>
        <w:t> previsto dall’art. 192 del d.lgs. 50/2016</w:t>
      </w:r>
      <w:r w:rsidR="00F904AD" w:rsidRPr="007D1DFE">
        <w:rPr>
          <w:rFonts w:ascii="Times New Roman" w:eastAsia="Times New Roman" w:hAnsi="Times New Roman" w:cs="Times New Roman"/>
          <w:i/>
          <w:sz w:val="24"/>
          <w:szCs w:val="24"/>
          <w:lang w:eastAsia="it-IT"/>
        </w:rPr>
        <w:t>”</w:t>
      </w:r>
      <w:r w:rsidRPr="007D1DFE">
        <w:rPr>
          <w:rFonts w:ascii="Times New Roman" w:eastAsia="Times New Roman" w:hAnsi="Times New Roman" w:cs="Times New Roman"/>
          <w:sz w:val="24"/>
          <w:szCs w:val="24"/>
          <w:lang w:eastAsia="it-IT"/>
        </w:rPr>
        <w:t xml:space="preserve"> (Delibera n. 235 del 15 febbraio 2017</w:t>
      </w:r>
      <w:r w:rsidR="00911A96" w:rsidRPr="007D1DFE">
        <w:rPr>
          <w:rFonts w:ascii="Times New Roman" w:eastAsia="Times New Roman" w:hAnsi="Times New Roman" w:cs="Times New Roman"/>
          <w:sz w:val="24"/>
          <w:szCs w:val="24"/>
          <w:lang w:eastAsia="it-IT"/>
        </w:rPr>
        <w:t>, successivamente aggiornata con Delibera n. 951 del 20 settembre 2017</w:t>
      </w:r>
      <w:r w:rsidRPr="007D1DFE">
        <w:rPr>
          <w:rFonts w:ascii="Times New Roman" w:eastAsia="Times New Roman" w:hAnsi="Times New Roman" w:cs="Times New Roman"/>
          <w:sz w:val="24"/>
          <w:szCs w:val="24"/>
          <w:lang w:eastAsia="it-IT"/>
        </w:rPr>
        <w:t>);</w:t>
      </w:r>
    </w:p>
    <w:p w:rsidR="00911A96" w:rsidRPr="007D1DFE" w:rsidRDefault="00911A96"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Cs/>
          <w:sz w:val="24"/>
          <w:szCs w:val="24"/>
          <w:lang w:eastAsia="it-IT"/>
        </w:rPr>
        <w:lastRenderedPageBreak/>
        <w:t>Linee guida n. 8</w:t>
      </w:r>
      <w:r w:rsidR="009D0271" w:rsidRPr="007D1DFE">
        <w:rPr>
          <w:rFonts w:ascii="Times New Roman" w:eastAsia="Times New Roman" w:hAnsi="Times New Roman" w:cs="Times New Roman"/>
          <w:bCs/>
          <w:sz w:val="24"/>
          <w:szCs w:val="24"/>
          <w:lang w:eastAsia="it-IT"/>
        </w:rPr>
        <w:t xml:space="preserve">, recanti </w:t>
      </w:r>
      <w:r w:rsidRPr="007D1DFE">
        <w:rPr>
          <w:rFonts w:ascii="Times New Roman" w:eastAsia="Times New Roman" w:hAnsi="Times New Roman" w:cs="Times New Roman"/>
          <w:bCs/>
          <w:sz w:val="24"/>
          <w:szCs w:val="24"/>
          <w:lang w:eastAsia="it-IT"/>
        </w:rPr>
        <w:t> </w:t>
      </w:r>
      <w:r w:rsidR="00F904AD" w:rsidRPr="007D1DFE">
        <w:rPr>
          <w:rFonts w:ascii="Times New Roman" w:eastAsia="Times New Roman" w:hAnsi="Times New Roman" w:cs="Times New Roman"/>
          <w:bCs/>
          <w:sz w:val="24"/>
          <w:szCs w:val="24"/>
          <w:lang w:eastAsia="it-IT"/>
        </w:rPr>
        <w:t>“</w:t>
      </w:r>
      <w:r w:rsidRPr="007D1DFE">
        <w:rPr>
          <w:rFonts w:ascii="Times New Roman" w:eastAsia="Times New Roman" w:hAnsi="Times New Roman" w:cs="Times New Roman"/>
          <w:bCs/>
          <w:i/>
          <w:sz w:val="24"/>
          <w:szCs w:val="24"/>
          <w:lang w:eastAsia="it-IT"/>
        </w:rPr>
        <w:t>Ricorso a procedure negoziate senza previa pubblicazione di un bando nel caso di forniture e servizi ritenuti infungibili</w:t>
      </w:r>
      <w:r w:rsidR="00F904AD" w:rsidRPr="007D1DFE">
        <w:rPr>
          <w:rFonts w:ascii="Times New Roman" w:eastAsia="Times New Roman" w:hAnsi="Times New Roman" w:cs="Times New Roman"/>
          <w:bCs/>
          <w:i/>
          <w:sz w:val="24"/>
          <w:szCs w:val="24"/>
          <w:lang w:eastAsia="it-IT"/>
        </w:rPr>
        <w:t>”</w:t>
      </w:r>
      <w:r w:rsidRPr="007D1DFE">
        <w:rPr>
          <w:rFonts w:ascii="Times New Roman" w:eastAsia="Times New Roman" w:hAnsi="Times New Roman" w:cs="Times New Roman"/>
          <w:bCs/>
          <w:sz w:val="24"/>
          <w:szCs w:val="24"/>
          <w:lang w:eastAsia="it-IT"/>
        </w:rPr>
        <w:t xml:space="preserve"> (</w:t>
      </w:r>
      <w:r w:rsidRPr="007D1DFE">
        <w:rPr>
          <w:rFonts w:ascii="Times New Roman" w:hAnsi="Times New Roman"/>
          <w:bCs/>
          <w:sz w:val="24"/>
          <w:szCs w:val="24"/>
        </w:rPr>
        <w:t>Determinazion</w:t>
      </w:r>
      <w:r w:rsidR="009D0271" w:rsidRPr="007D1DFE">
        <w:rPr>
          <w:rFonts w:ascii="Times New Roman" w:hAnsi="Times New Roman"/>
          <w:bCs/>
          <w:sz w:val="24"/>
          <w:szCs w:val="24"/>
        </w:rPr>
        <w:t>e n. 950 del 13 settembre 2017);</w:t>
      </w:r>
    </w:p>
    <w:p w:rsidR="009D0271" w:rsidRPr="007D1DFE" w:rsidRDefault="009D0271" w:rsidP="007D1DFE">
      <w:pPr>
        <w:pStyle w:val="Paragrafoelenco"/>
        <w:numPr>
          <w:ilvl w:val="0"/>
          <w:numId w:val="23"/>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Linee guida n. 9, recanti </w:t>
      </w:r>
      <w:r w:rsidRPr="007D1DFE">
        <w:rPr>
          <w:rFonts w:ascii="Times New Roman" w:eastAsia="Times New Roman" w:hAnsi="Times New Roman" w:cs="Times New Roman"/>
          <w:i/>
          <w:sz w:val="24"/>
          <w:szCs w:val="24"/>
          <w:lang w:eastAsia="it-IT"/>
        </w:rPr>
        <w:t xml:space="preserve">“Monitoraggio delle amministrazioni aggiudicatrici sull’attività dell’operatore economico nei contratti di partenariato pubblico privato».” </w:t>
      </w:r>
      <w:r w:rsidRPr="007D1DFE">
        <w:rPr>
          <w:rFonts w:ascii="Times New Roman" w:eastAsia="Times New Roman" w:hAnsi="Times New Roman" w:cs="Times New Roman"/>
          <w:sz w:val="24"/>
          <w:szCs w:val="24"/>
          <w:lang w:eastAsia="it-IT"/>
        </w:rPr>
        <w:t xml:space="preserve">(Delibera n. </w:t>
      </w:r>
      <w:r w:rsidR="00396583" w:rsidRPr="007D1DFE">
        <w:rPr>
          <w:rFonts w:ascii="Times New Roman" w:eastAsia="Times New Roman" w:hAnsi="Times New Roman" w:cs="Times New Roman"/>
          <w:sz w:val="24"/>
          <w:szCs w:val="24"/>
          <w:lang w:eastAsia="it-IT"/>
        </w:rPr>
        <w:t>3</w:t>
      </w:r>
      <w:r w:rsidRPr="007D1DFE">
        <w:rPr>
          <w:rFonts w:ascii="Times New Roman" w:eastAsia="Times New Roman" w:hAnsi="Times New Roman" w:cs="Times New Roman"/>
          <w:sz w:val="24"/>
          <w:szCs w:val="24"/>
          <w:lang w:eastAsia="it-IT"/>
        </w:rPr>
        <w:t>18 del 28 marzo 2018);</w:t>
      </w:r>
    </w:p>
    <w:p w:rsidR="009D0271" w:rsidRPr="007D1DFE" w:rsidRDefault="009D0271" w:rsidP="007D1DFE">
      <w:pPr>
        <w:pStyle w:val="Paragrafoelenco"/>
        <w:numPr>
          <w:ilvl w:val="0"/>
          <w:numId w:val="23"/>
        </w:numPr>
        <w:spacing w:line="240" w:lineRule="auto"/>
        <w:jc w:val="both"/>
        <w:rPr>
          <w:rFonts w:ascii="Times New Roman" w:eastAsia="Times New Roman" w:hAnsi="Times New Roman" w:cs="Times New Roman"/>
          <w:i/>
          <w:sz w:val="24"/>
          <w:szCs w:val="24"/>
          <w:lang w:eastAsia="it-IT"/>
        </w:rPr>
      </w:pPr>
      <w:r w:rsidRPr="007D1DFE">
        <w:rPr>
          <w:rFonts w:ascii="Times New Roman" w:eastAsia="Times New Roman" w:hAnsi="Times New Roman" w:cs="Times New Roman"/>
          <w:sz w:val="24"/>
          <w:szCs w:val="24"/>
          <w:lang w:eastAsia="it-IT"/>
        </w:rPr>
        <w:t xml:space="preserve">Linee guida n.10, recanti </w:t>
      </w:r>
      <w:r w:rsidRPr="007D1DFE">
        <w:rPr>
          <w:rFonts w:ascii="Times New Roman" w:eastAsia="Times New Roman" w:hAnsi="Times New Roman" w:cs="Times New Roman"/>
          <w:i/>
          <w:sz w:val="24"/>
          <w:szCs w:val="24"/>
          <w:lang w:eastAsia="it-IT"/>
        </w:rPr>
        <w:t xml:space="preserve">“Affidamento del servizio di vigilanza privata” </w:t>
      </w:r>
      <w:r w:rsidRPr="007D1DFE">
        <w:rPr>
          <w:rFonts w:ascii="Times New Roman" w:eastAsia="Times New Roman" w:hAnsi="Times New Roman" w:cs="Times New Roman"/>
          <w:sz w:val="24"/>
          <w:szCs w:val="24"/>
          <w:lang w:eastAsia="it-IT"/>
        </w:rPr>
        <w:t>(Delibera n. 462</w:t>
      </w:r>
      <w:r w:rsidR="00396583" w:rsidRPr="007D1DFE">
        <w:rPr>
          <w:rFonts w:ascii="Times New Roman" w:eastAsia="Times New Roman" w:hAnsi="Times New Roman" w:cs="Times New Roman"/>
          <w:sz w:val="24"/>
          <w:szCs w:val="24"/>
          <w:lang w:eastAsia="it-IT"/>
        </w:rPr>
        <w:t xml:space="preserve"> del 23 maggi</w:t>
      </w:r>
      <w:r w:rsidRPr="007D1DFE">
        <w:rPr>
          <w:rFonts w:ascii="Times New Roman" w:eastAsia="Times New Roman" w:hAnsi="Times New Roman" w:cs="Times New Roman"/>
          <w:sz w:val="24"/>
          <w:szCs w:val="24"/>
          <w:lang w:eastAsia="it-IT"/>
        </w:rPr>
        <w:t>o 2018);</w:t>
      </w:r>
    </w:p>
    <w:p w:rsidR="00396583" w:rsidRPr="007D1DFE" w:rsidRDefault="00396583" w:rsidP="007D1DFE">
      <w:pPr>
        <w:pStyle w:val="Paragrafoelenco"/>
        <w:numPr>
          <w:ilvl w:val="0"/>
          <w:numId w:val="23"/>
        </w:numPr>
        <w:spacing w:line="240" w:lineRule="auto"/>
        <w:jc w:val="both"/>
        <w:rPr>
          <w:rFonts w:ascii="Times New Roman" w:eastAsia="Times New Roman" w:hAnsi="Times New Roman" w:cs="Times New Roman"/>
          <w:i/>
          <w:sz w:val="24"/>
          <w:szCs w:val="24"/>
          <w:lang w:eastAsia="it-IT"/>
        </w:rPr>
      </w:pPr>
      <w:r w:rsidRPr="007D1DFE">
        <w:rPr>
          <w:rFonts w:ascii="Times New Roman" w:eastAsia="Times New Roman" w:hAnsi="Times New Roman" w:cs="Times New Roman"/>
          <w:sz w:val="24"/>
          <w:szCs w:val="24"/>
          <w:lang w:eastAsia="it-IT"/>
        </w:rPr>
        <w:t xml:space="preserve">Linee guida n.11, recanti </w:t>
      </w:r>
      <w:r w:rsidRPr="007D1DFE">
        <w:rPr>
          <w:rFonts w:ascii="Times New Roman" w:eastAsia="Times New Roman" w:hAnsi="Times New Roman" w:cs="Times New Roman"/>
          <w:i/>
          <w:sz w:val="24"/>
          <w:szCs w:val="24"/>
          <w:lang w:eastAsia="it-IT"/>
        </w:rPr>
        <w:t xml:space="preserve">“Indicazioni per la verifica del rispetto del limite di cui all’articolo 177, comma 1, del codice, da parte dei soggetti pubblici o privati titolari di concessioni di lavori, servizi pubblici o forniture già in essere alla data di entrata in vigore del codice non affidate con la formula della finanza di progetto ovvero con procedure di gara ad evidenza pubblica secondo il diritto dell’Unione europea.” </w:t>
      </w:r>
      <w:r w:rsidRPr="007D1DFE">
        <w:rPr>
          <w:rFonts w:ascii="Times New Roman" w:eastAsia="Times New Roman" w:hAnsi="Times New Roman" w:cs="Times New Roman"/>
          <w:sz w:val="24"/>
          <w:szCs w:val="24"/>
          <w:lang w:eastAsia="it-IT"/>
        </w:rPr>
        <w:t>(Delibera n. 614 del 4 luglio 2018);</w:t>
      </w:r>
    </w:p>
    <w:p w:rsidR="009D0271" w:rsidRPr="007D1DFE" w:rsidRDefault="00396583" w:rsidP="007D1DFE">
      <w:pPr>
        <w:pStyle w:val="Paragrafoelenco"/>
        <w:numPr>
          <w:ilvl w:val="0"/>
          <w:numId w:val="23"/>
        </w:numPr>
        <w:spacing w:line="240" w:lineRule="auto"/>
        <w:jc w:val="both"/>
        <w:rPr>
          <w:rFonts w:ascii="Times New Roman" w:eastAsia="Times New Roman" w:hAnsi="Times New Roman" w:cs="Times New Roman"/>
          <w:i/>
          <w:sz w:val="24"/>
          <w:szCs w:val="24"/>
          <w:lang w:eastAsia="it-IT"/>
        </w:rPr>
      </w:pPr>
      <w:r w:rsidRPr="007D1DFE">
        <w:rPr>
          <w:rFonts w:ascii="Times New Roman" w:eastAsia="Times New Roman" w:hAnsi="Times New Roman" w:cs="Times New Roman"/>
          <w:sz w:val="24"/>
          <w:szCs w:val="24"/>
          <w:lang w:eastAsia="it-IT"/>
        </w:rPr>
        <w:t xml:space="preserve">Linee guida n.12, recanti </w:t>
      </w:r>
      <w:r w:rsidRPr="007D1DFE">
        <w:rPr>
          <w:rFonts w:ascii="Times New Roman" w:eastAsia="Times New Roman" w:hAnsi="Times New Roman" w:cs="Times New Roman"/>
          <w:i/>
          <w:sz w:val="24"/>
          <w:szCs w:val="24"/>
          <w:lang w:eastAsia="it-IT"/>
        </w:rPr>
        <w:t>“</w:t>
      </w:r>
      <w:r w:rsidR="007523DA" w:rsidRPr="007D1DFE">
        <w:rPr>
          <w:rFonts w:ascii="Times New Roman" w:eastAsia="Times New Roman" w:hAnsi="Times New Roman" w:cs="Times New Roman"/>
          <w:i/>
          <w:sz w:val="24"/>
          <w:szCs w:val="24"/>
          <w:lang w:eastAsia="it-IT"/>
        </w:rPr>
        <w:t xml:space="preserve">Affidamento dei servizi legali” </w:t>
      </w:r>
      <w:r w:rsidRPr="007D1DFE">
        <w:rPr>
          <w:rFonts w:ascii="Times New Roman" w:eastAsia="Times New Roman" w:hAnsi="Times New Roman" w:cs="Times New Roman"/>
          <w:sz w:val="24"/>
          <w:szCs w:val="24"/>
          <w:lang w:eastAsia="it-IT"/>
        </w:rPr>
        <w:t xml:space="preserve">(Delibera n. 907 del </w:t>
      </w:r>
      <w:r w:rsidR="007523DA" w:rsidRPr="007D1DFE">
        <w:rPr>
          <w:rFonts w:ascii="Times New Roman" w:eastAsia="Times New Roman" w:hAnsi="Times New Roman" w:cs="Times New Roman"/>
          <w:sz w:val="24"/>
          <w:szCs w:val="24"/>
          <w:lang w:eastAsia="it-IT"/>
        </w:rPr>
        <w:t>2</w:t>
      </w:r>
      <w:r w:rsidRPr="007D1DFE">
        <w:rPr>
          <w:rFonts w:ascii="Times New Roman" w:eastAsia="Times New Roman" w:hAnsi="Times New Roman" w:cs="Times New Roman"/>
          <w:sz w:val="24"/>
          <w:szCs w:val="24"/>
          <w:lang w:eastAsia="it-IT"/>
        </w:rPr>
        <w:t xml:space="preserve">4 </w:t>
      </w:r>
      <w:r w:rsidR="007523DA" w:rsidRPr="007D1DFE">
        <w:rPr>
          <w:rFonts w:ascii="Times New Roman" w:eastAsia="Times New Roman" w:hAnsi="Times New Roman" w:cs="Times New Roman"/>
          <w:sz w:val="24"/>
          <w:szCs w:val="24"/>
          <w:lang w:eastAsia="it-IT"/>
        </w:rPr>
        <w:t>ottobre</w:t>
      </w:r>
      <w:r w:rsidRPr="007D1DFE">
        <w:rPr>
          <w:rFonts w:ascii="Times New Roman" w:eastAsia="Times New Roman" w:hAnsi="Times New Roman" w:cs="Times New Roman"/>
          <w:sz w:val="24"/>
          <w:szCs w:val="24"/>
          <w:lang w:eastAsia="it-IT"/>
        </w:rPr>
        <w:t xml:space="preserve"> 2018);</w:t>
      </w:r>
    </w:p>
    <w:p w:rsidR="00BC6FE9" w:rsidRPr="007D1DFE" w:rsidRDefault="00911A96"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Per alcune delle suddette Linee guida è stata avviata </w:t>
      </w:r>
      <w:r w:rsidR="007523DA" w:rsidRPr="007D1DFE">
        <w:rPr>
          <w:rFonts w:ascii="Times New Roman" w:eastAsia="Times New Roman" w:hAnsi="Times New Roman" w:cs="Times New Roman"/>
          <w:sz w:val="24"/>
          <w:szCs w:val="24"/>
          <w:lang w:eastAsia="it-IT"/>
        </w:rPr>
        <w:t xml:space="preserve">sul sito dell’ANAC </w:t>
      </w:r>
      <w:r w:rsidRPr="007D1DFE">
        <w:rPr>
          <w:rFonts w:ascii="Times New Roman" w:eastAsia="Times New Roman" w:hAnsi="Times New Roman" w:cs="Times New Roman"/>
          <w:sz w:val="24"/>
          <w:szCs w:val="24"/>
          <w:lang w:eastAsia="it-IT"/>
        </w:rPr>
        <w:t>la procedura di consultazione on line propedeutica al loro aggiornamento</w:t>
      </w:r>
      <w:r w:rsidR="007523DA" w:rsidRPr="007D1DFE">
        <w:rPr>
          <w:rFonts w:ascii="Times New Roman" w:eastAsia="Times New Roman" w:hAnsi="Times New Roman" w:cs="Times New Roman"/>
          <w:sz w:val="24"/>
          <w:szCs w:val="24"/>
          <w:lang w:eastAsia="it-IT"/>
        </w:rPr>
        <w:t xml:space="preserve"> e la stessa procedura è stata espletata anche per altre Linee guida di futura adozione </w:t>
      </w:r>
      <w:r w:rsidRPr="007D1DFE">
        <w:rPr>
          <w:rFonts w:ascii="Times New Roman" w:eastAsia="Times New Roman" w:hAnsi="Times New Roman" w:cs="Times New Roman"/>
          <w:sz w:val="24"/>
          <w:szCs w:val="24"/>
          <w:lang w:eastAsia="it-IT"/>
        </w:rPr>
        <w:t xml:space="preserve"> </w:t>
      </w:r>
      <w:r w:rsidRPr="007D1DFE">
        <w:rPr>
          <w:rStyle w:val="Rimandonotaapidipagina"/>
          <w:rFonts w:ascii="Times New Roman" w:eastAsia="Times New Roman" w:hAnsi="Times New Roman" w:cs="Times New Roman"/>
          <w:sz w:val="24"/>
          <w:szCs w:val="24"/>
          <w:lang w:eastAsia="it-IT"/>
        </w:rPr>
        <w:footnoteReference w:id="49"/>
      </w:r>
      <w:r w:rsidRPr="007D1DFE">
        <w:rPr>
          <w:rFonts w:ascii="Times New Roman" w:eastAsia="Times New Roman" w:hAnsi="Times New Roman" w:cs="Times New Roman"/>
          <w:sz w:val="24"/>
          <w:szCs w:val="24"/>
          <w:lang w:eastAsia="it-IT"/>
        </w:rPr>
        <w:t>.</w:t>
      </w:r>
    </w:p>
    <w:p w:rsidR="00BC6FE9" w:rsidRPr="007D1DFE" w:rsidRDefault="00BC6FE9" w:rsidP="007D1DFE">
      <w:pPr>
        <w:spacing w:line="240" w:lineRule="auto"/>
        <w:jc w:val="both"/>
        <w:rPr>
          <w:rFonts w:ascii="Times New Roman" w:eastAsia="Times New Roman" w:hAnsi="Times New Roman" w:cs="Times New Roman"/>
          <w:sz w:val="24"/>
          <w:szCs w:val="24"/>
          <w:lang w:eastAsia="it-IT"/>
        </w:rPr>
      </w:pPr>
    </w:p>
    <w:p w:rsidR="0038775C" w:rsidRPr="007D1DFE" w:rsidRDefault="0038775C"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2.6.</w:t>
      </w:r>
      <w:r w:rsidR="00985F4F" w:rsidRPr="007D1DFE">
        <w:rPr>
          <w:rFonts w:ascii="Times New Roman" w:eastAsia="Times New Roman" w:hAnsi="Times New Roman" w:cs="Times New Roman"/>
          <w:b/>
          <w:sz w:val="24"/>
          <w:szCs w:val="24"/>
          <w:lang w:eastAsia="it-IT"/>
        </w:rPr>
        <w:t>4</w:t>
      </w:r>
      <w:r w:rsidRPr="007D1DFE">
        <w:rPr>
          <w:rFonts w:ascii="Times New Roman" w:eastAsia="Times New Roman" w:hAnsi="Times New Roman" w:cs="Times New Roman"/>
          <w:b/>
          <w:sz w:val="24"/>
          <w:szCs w:val="24"/>
          <w:lang w:eastAsia="it-IT"/>
        </w:rPr>
        <w:t>. Le indicazioni dell’Autorità garante della concorrenza e del mercato.</w:t>
      </w:r>
      <w:r w:rsidRPr="007D1DFE">
        <w:rPr>
          <w:rFonts w:ascii="Times New Roman" w:eastAsia="Times New Roman" w:hAnsi="Times New Roman" w:cs="Times New Roman"/>
          <w:sz w:val="24"/>
          <w:szCs w:val="24"/>
          <w:lang w:eastAsia="it-IT"/>
        </w:rPr>
        <w:t xml:space="preserve"> Si evidenzia che l’Autorità garante della concorrenza e del mercato ha adottato, il 18 settembre 2013, un “v</w:t>
      </w:r>
      <w:r w:rsidRPr="007D1DFE">
        <w:rPr>
          <w:rFonts w:ascii="Times New Roman" w:eastAsia="Times New Roman" w:hAnsi="Times New Roman" w:cs="Times New Roman"/>
          <w:iCs/>
          <w:sz w:val="24"/>
          <w:szCs w:val="24"/>
          <w:lang w:eastAsia="it-IT"/>
        </w:rPr>
        <w:t xml:space="preserve">ademecum”, rivolto alle </w:t>
      </w:r>
      <w:r w:rsidRPr="007D1DFE">
        <w:rPr>
          <w:rFonts w:ascii="Times New Roman" w:eastAsia="Times New Roman" w:hAnsi="Times New Roman" w:cs="Times New Roman"/>
          <w:sz w:val="24"/>
          <w:szCs w:val="24"/>
          <w:lang w:eastAsia="it-IT"/>
        </w:rPr>
        <w:t>stazioni appaltanti, per identificare e segnalare all’Autorità stessa eventuali anomalie comportamentali che possono costituire indizio della presenza di fenomeni anticoncorrenziali ed illeciti.</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Il vademecum pone l’accento sul fatto che gli accordi anticoncorrenziali aventi ad oggetto gare per l’assegnazione di appalti pubblici, oltre a rappresentare delle infrazioni alle regole della concorrenza, comportano una lievitazione dei costi per lavori o forniture, e comportano quindi un danno diretto per l’intera collettività. Anche per tale motivo, le intese anticoncorrenziali in gara sono assoggettate non solo a sanzioni amministrative nei confronti delle imprese ma anche a sanzioni penali nei confronti delle persone fisiche.</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Secondo l’Autorità, i fenomeni anticoncorrenziali si presentano soprattutto in particolari contesti di mercato caratterizzati da:</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 pochi concorrenti;</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b) concorrenti caratterizzati da analoga efficienza e dimensione;</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c) prodotti omogenei;</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 perdurante partecipazione alle gare delle stesse imprese;</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e) appalto ripartito in più lotti dal valore economico simile.</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Inoltre, le manifestazioni di comportamenti anticoncorrenziali possono assumere le seguenti  fattispecie:</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bCs/>
          <w:sz w:val="24"/>
          <w:szCs w:val="24"/>
          <w:lang w:eastAsia="it-IT"/>
        </w:rPr>
        <w:t>- Boicottaggio della gara</w:t>
      </w:r>
      <w:r w:rsidRPr="007D1DFE">
        <w:rPr>
          <w:rFonts w:ascii="Times New Roman" w:eastAsia="Times New Roman" w:hAnsi="Times New Roman" w:cs="Times New Roman"/>
          <w:bCs/>
          <w:sz w:val="24"/>
          <w:szCs w:val="24"/>
          <w:lang w:eastAsia="it-IT"/>
        </w:rPr>
        <w:t>, che</w:t>
      </w:r>
      <w:r w:rsidRPr="007D1DFE">
        <w:rPr>
          <w:rFonts w:ascii="Times New Roman" w:eastAsia="Times New Roman" w:hAnsi="Times New Roman" w:cs="Times New Roman"/>
          <w:b/>
          <w:bCs/>
          <w:sz w:val="24"/>
          <w:szCs w:val="24"/>
          <w:lang w:eastAsia="it-IT"/>
        </w:rPr>
        <w:t xml:space="preserve"> </w:t>
      </w:r>
      <w:r w:rsidRPr="007D1DFE">
        <w:rPr>
          <w:rFonts w:ascii="Times New Roman" w:eastAsia="Times New Roman" w:hAnsi="Times New Roman" w:cs="Times New Roman"/>
          <w:sz w:val="24"/>
          <w:szCs w:val="24"/>
          <w:lang w:eastAsia="it-IT"/>
        </w:rPr>
        <w:t xml:space="preserve">si caratterizza per la mancata presentazione di offerte da parte di una o più imprese al fine di prolungare il contratto con il fornitore abituale o di far ripartire pro quota il lavoro o la fornitura tra tutte le imprese interessate al contratto. Le principali manifestazioni che potrebbero essere indizio di questa strategia sono le seguenti: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1) nessuna offerta presentata;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lastRenderedPageBreak/>
        <w:t xml:space="preserve">2) presentazione di un'unica offerta o di un numero di offerte comunque insufficiente per procedere all’assegnazione dell’appalto (quando la stazione appaltante stabilisce un numero minimo per la regolarità della gara);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3) presentazione di offerte tutte caratterizzate dal medesimo importo (soprattutto quando le procedure di gara fissate dalla stazione appaltante prevedono in queste circostanze l’annullamento della gara o la ripartizione dell’appalto pro quota);</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bCs/>
          <w:sz w:val="24"/>
          <w:szCs w:val="24"/>
          <w:lang w:eastAsia="it-IT"/>
        </w:rPr>
        <w:t>- Offerte di comodo</w:t>
      </w:r>
      <w:r w:rsidRPr="007D1DFE">
        <w:rPr>
          <w:rFonts w:ascii="Times New Roman" w:eastAsia="Times New Roman" w:hAnsi="Times New Roman" w:cs="Times New Roman"/>
          <w:bCs/>
          <w:sz w:val="24"/>
          <w:szCs w:val="24"/>
          <w:lang w:eastAsia="it-IT"/>
        </w:rPr>
        <w:t>, che</w:t>
      </w:r>
      <w:r w:rsidRPr="007D1DFE">
        <w:rPr>
          <w:rFonts w:ascii="Times New Roman" w:eastAsia="Times New Roman" w:hAnsi="Times New Roman" w:cs="Times New Roman"/>
          <w:b/>
          <w:bCs/>
          <w:sz w:val="24"/>
          <w:szCs w:val="24"/>
          <w:lang w:eastAsia="it-IT"/>
        </w:rPr>
        <w:t xml:space="preserve"> </w:t>
      </w:r>
      <w:r w:rsidRPr="007D1DFE">
        <w:rPr>
          <w:rFonts w:ascii="Times New Roman" w:eastAsia="Times New Roman" w:hAnsi="Times New Roman" w:cs="Times New Roman"/>
          <w:sz w:val="24"/>
          <w:szCs w:val="24"/>
          <w:lang w:eastAsia="it-IT"/>
        </w:rPr>
        <w:t>rappresentano una pratica particolarmente diffusa di turbativa d’asta, finalizzata a conferire un’apparente regolarità concorrenziale alla gara e a celarne l’innalzamento dei prezzi di aggiudicazione (es. offerte presentate dalle imprese non aggiudicatarie, che si caratterizzano per importi palesemente troppo elevati, ovvero offerte contenenti condizioni particolari e quindi inaccettabili per la stazione appaltante, così da determinarne l’esclusione.</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Una sequenza di gare in cui risulti aggiudicataria sempre la stessa impresa può poi destare il sospetto che i concorrenti presentino offerte di comodo;</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bCs/>
          <w:sz w:val="24"/>
          <w:szCs w:val="24"/>
          <w:lang w:eastAsia="it-IT"/>
        </w:rPr>
        <w:t>- Subappalti o ATI (Associazione Temporanea d’Imprese</w:t>
      </w:r>
      <w:r w:rsidRPr="007D1DFE">
        <w:rPr>
          <w:rFonts w:ascii="Times New Roman" w:eastAsia="Times New Roman" w:hAnsi="Times New Roman" w:cs="Times New Roman"/>
          <w:bCs/>
          <w:sz w:val="24"/>
          <w:szCs w:val="24"/>
          <w:lang w:eastAsia="it-IT"/>
        </w:rPr>
        <w:t>), si</w:t>
      </w:r>
      <w:r w:rsidRPr="007D1DFE">
        <w:rPr>
          <w:rFonts w:ascii="Times New Roman" w:eastAsia="Times New Roman" w:hAnsi="Times New Roman" w:cs="Times New Roman"/>
          <w:b/>
          <w:bCs/>
          <w:sz w:val="24"/>
          <w:szCs w:val="24"/>
          <w:lang w:eastAsia="it-IT"/>
        </w:rPr>
        <w:t xml:space="preserve"> </w:t>
      </w:r>
      <w:r w:rsidRPr="007D1DFE">
        <w:rPr>
          <w:rFonts w:ascii="Times New Roman" w:eastAsia="Times New Roman" w:hAnsi="Times New Roman" w:cs="Times New Roman"/>
          <w:sz w:val="24"/>
          <w:szCs w:val="24"/>
          <w:lang w:eastAsia="it-IT"/>
        </w:rPr>
        <w:t>possono prestare ad un uso distorto dal momento che sono anche idonei a favorire la spartizione del mercato o addirittura della singola commessa. Un indizio di tale meccanismo spartitorio può essere rinvenuto laddove imprese, singolarmente in grado di partecipare a una gara, scelgono di astenervisi in vista di un successivo subappalto o optano per la costituzione di un’ATI. L’evidenza della possibilità di partecipazione autonoma ad un</w:t>
      </w:r>
      <w:r w:rsidR="0056623A"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 xml:space="preserve"> gara può essere tratta dalla storia delle precedenti aggiudicazioni. Particolarmente sospetti sono i casi nei quali un’impresa decida inizialmente di partecipare ad una gara, ritirando l’offerta in un secondo momento, per poi risultare beneficiaria di un subappalto relativo alla medesima gara;</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bCs/>
          <w:sz w:val="24"/>
          <w:szCs w:val="24"/>
          <w:lang w:eastAsia="it-IT"/>
        </w:rPr>
        <w:t xml:space="preserve">- Segnali di allarme nelle modalità di partecipazione all’asta. </w:t>
      </w:r>
      <w:r w:rsidRPr="007D1DFE">
        <w:rPr>
          <w:rFonts w:ascii="Times New Roman" w:eastAsia="Times New Roman" w:hAnsi="Times New Roman" w:cs="Times New Roman"/>
          <w:sz w:val="24"/>
          <w:szCs w:val="24"/>
          <w:lang w:eastAsia="it-IT"/>
        </w:rPr>
        <w:t>Può accadere che gli aderenti ad un cartello presentino le domande di partecipazione all’asta con modalità tali da tradire la comune formulazione. E’ questo il caso di: 1) comuni errori di battitura; 2) stessa grafia; 3) riferimento a domande di altri partecipanti alla medesima gara; 4) analoghe stime o errori di calcolo; 5) consegna</w:t>
      </w:r>
      <w:r w:rsidR="008A4F6A"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t>contemporanea, da parte di un soggetto, di più offerte per conto di differenti partecipanti alla medesima procedura di gara.</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autoSpaceDE w:val="0"/>
        <w:autoSpaceDN w:val="0"/>
        <w:adjustRightInd w:val="0"/>
        <w:spacing w:line="240" w:lineRule="auto"/>
        <w:rPr>
          <w:rFonts w:ascii="Times New Roman" w:eastAsia="Times New Roman" w:hAnsi="Times New Roman" w:cs="Times New Roman"/>
          <w:sz w:val="16"/>
          <w:szCs w:val="16"/>
          <w:lang w:eastAsia="it-IT"/>
        </w:rPr>
      </w:pPr>
      <w:r w:rsidRPr="007D1DFE">
        <w:rPr>
          <w:rFonts w:ascii="Times New Roman" w:eastAsia="Times New Roman" w:hAnsi="Times New Roman" w:cs="Times New Roman"/>
          <w:sz w:val="23"/>
          <w:szCs w:val="23"/>
          <w:lang w:eastAsia="it-IT"/>
        </w:rPr>
        <w:t xml:space="preserve"> </w:t>
      </w:r>
    </w:p>
    <w:p w:rsidR="009903C3" w:rsidRPr="007D1DFE" w:rsidRDefault="009903C3" w:rsidP="007D1DFE">
      <w:pPr>
        <w:numPr>
          <w:ilvl w:val="0"/>
          <w:numId w:val="8"/>
        </w:numPr>
        <w:spacing w:line="240" w:lineRule="auto"/>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b/>
          <w:sz w:val="24"/>
          <w:szCs w:val="24"/>
          <w:lang w:eastAsia="it-IT"/>
        </w:rPr>
        <w:t>Monitoraggio sull’attuazione delle misure per la prevenzione della corruzione</w:t>
      </w:r>
      <w:r w:rsidRPr="007D1DFE">
        <w:rPr>
          <w:rFonts w:ascii="BookmanOldStyle" w:eastAsia="Times New Roman" w:hAnsi="BookmanOldStyle" w:cs="BookmanOldStyle"/>
          <w:sz w:val="24"/>
          <w:szCs w:val="24"/>
          <w:lang w:eastAsia="it-IT"/>
        </w:rPr>
        <w:t xml:space="preserve">. </w:t>
      </w:r>
    </w:p>
    <w:p w:rsidR="009903C3" w:rsidRPr="007D1DFE" w:rsidRDefault="009903C3" w:rsidP="007D1DFE">
      <w:pPr>
        <w:spacing w:line="240" w:lineRule="auto"/>
        <w:jc w:val="both"/>
        <w:rPr>
          <w:rFonts w:ascii="BookmanOldStyle" w:eastAsia="Times New Roman" w:hAnsi="BookmanOldStyle" w:cs="BookmanOldStyle"/>
          <w:sz w:val="24"/>
          <w:szCs w:val="24"/>
          <w:lang w:eastAsia="it-IT"/>
        </w:rPr>
      </w:pPr>
    </w:p>
    <w:p w:rsidR="009903C3" w:rsidRPr="007D1DFE" w:rsidRDefault="009903C3" w:rsidP="007D1DFE">
      <w:pPr>
        <w:spacing w:line="240" w:lineRule="auto"/>
        <w:ind w:firstLine="540"/>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 xml:space="preserve">Ai fini della verifica dell’applicazione delle misure per la prevenzione della corruzione previste dal presente Piano, il Responsabile per la prevenzione della corruzione provvede due volte l’anno – di norma entro il mese di aprile ed entro quello di ottobre - a richiedere alle Direzioni, mediante la somministrazione di appositi questionari, specifiche informazioni in merito all’attuazione delle misure di prevenzione, da restituire debitamente compilati allo stesso Responsabile entro venti giorni dalla ricezione. </w:t>
      </w:r>
    </w:p>
    <w:p w:rsidR="009903C3" w:rsidRPr="007D1DFE" w:rsidRDefault="009903C3" w:rsidP="007D1DFE">
      <w:pPr>
        <w:spacing w:line="240" w:lineRule="auto"/>
        <w:ind w:firstLine="540"/>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Ulteriori verifiche e richieste di esibizione di atti potranno essere disposte dal Responsabile per la prevenzione della corruzione anche sulla base delle informazioni rese attraverso la compilazione dei questionari.</w:t>
      </w:r>
    </w:p>
    <w:p w:rsidR="009903C3" w:rsidRPr="007D1DFE" w:rsidRDefault="009903C3" w:rsidP="007D1DFE">
      <w:pPr>
        <w:spacing w:line="240" w:lineRule="auto"/>
        <w:ind w:firstLine="540"/>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La mancata trasmissione del report entro il suddetto termine di venti giorni, ovvero la sua trasmissione incompleta, costituiscono elemento di valutazione della performance organizzativa ed individuale. Inoltre, c</w:t>
      </w:r>
      <w:r w:rsidRPr="007D1DFE">
        <w:rPr>
          <w:rFonts w:ascii="Times New Roman" w:eastAsia="Times New Roman" w:hAnsi="Times New Roman" w:cs="Times New Roman"/>
          <w:sz w:val="24"/>
          <w:szCs w:val="24"/>
          <w:lang w:eastAsia="it-IT"/>
        </w:rPr>
        <w:t>ome sottolineato nel P.N.A., ”</w:t>
      </w:r>
      <w:r w:rsidRPr="007D1DFE">
        <w:rPr>
          <w:rFonts w:ascii="Times New Roman" w:eastAsia="Times New Roman" w:hAnsi="Times New Roman" w:cs="Times New Roman"/>
          <w:i/>
          <w:sz w:val="24"/>
          <w:szCs w:val="24"/>
          <w:lang w:eastAsia="it-IT"/>
        </w:rPr>
        <w:t>la mancata risposta alle richieste di contatto e di informativa del responsabile della prevenzione da parte dei soggetti obbligati in base alle</w:t>
      </w:r>
      <w:r w:rsidRPr="007D1DFE">
        <w:rPr>
          <w:rFonts w:ascii="Times New Roman" w:eastAsia="Times New Roman" w:hAnsi="Times New Roman" w:cs="Times New Roman"/>
          <w:i/>
          <w:sz w:val="24"/>
          <w:szCs w:val="24"/>
          <w:u w:val="single"/>
          <w:lang w:eastAsia="it-IT"/>
        </w:rPr>
        <w:t xml:space="preserve"> </w:t>
      </w:r>
      <w:r w:rsidRPr="007D1DFE">
        <w:rPr>
          <w:rFonts w:ascii="Times New Roman" w:eastAsia="Times New Roman" w:hAnsi="Times New Roman" w:cs="Times New Roman"/>
          <w:i/>
          <w:sz w:val="24"/>
          <w:szCs w:val="24"/>
          <w:lang w:eastAsia="it-IT"/>
        </w:rPr>
        <w:t xml:space="preserve">disposizioni del </w:t>
      </w:r>
      <w:r w:rsidR="00896E6B" w:rsidRPr="007D1DFE">
        <w:rPr>
          <w:rFonts w:ascii="Times New Roman" w:eastAsia="Times New Roman" w:hAnsi="Times New Roman" w:cs="Times New Roman"/>
          <w:i/>
          <w:sz w:val="24"/>
          <w:szCs w:val="24"/>
          <w:lang w:eastAsia="it-IT"/>
        </w:rPr>
        <w:t>PTPC</w:t>
      </w:r>
      <w:r w:rsidRPr="007D1DFE">
        <w:rPr>
          <w:rFonts w:ascii="Times New Roman" w:eastAsia="Times New Roman" w:hAnsi="Times New Roman" w:cs="Times New Roman"/>
          <w:i/>
          <w:sz w:val="24"/>
          <w:szCs w:val="24"/>
          <w:lang w:eastAsia="it-IT"/>
        </w:rPr>
        <w:t xml:space="preserve"> è suscettibile di essere sanzionata disciplinarmente</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540"/>
        <w:jc w:val="both"/>
        <w:rPr>
          <w:rFonts w:ascii="BookmanOldStyle" w:eastAsia="Times New Roman" w:hAnsi="BookmanOldStyle" w:cs="BookmanOldStyle"/>
          <w:sz w:val="24"/>
          <w:szCs w:val="24"/>
          <w:lang w:eastAsia="it-IT"/>
        </w:rPr>
      </w:pPr>
      <w:r w:rsidRPr="007D1DFE">
        <w:rPr>
          <w:rFonts w:ascii="BookmanOldStyle" w:eastAsia="Times New Roman" w:hAnsi="BookmanOldStyle" w:cs="BookmanOldStyle"/>
          <w:sz w:val="24"/>
          <w:szCs w:val="24"/>
          <w:lang w:eastAsia="it-IT"/>
        </w:rPr>
        <w:t xml:space="preserve"> Le risultanze dei monitoraggi sono trasmesse all’</w:t>
      </w:r>
      <w:r w:rsidR="00896E6B" w:rsidRPr="007D1DFE">
        <w:rPr>
          <w:rFonts w:ascii="BookmanOldStyle" w:eastAsia="Times New Roman" w:hAnsi="BookmanOldStyle" w:cs="BookmanOldStyle"/>
          <w:sz w:val="24"/>
          <w:szCs w:val="24"/>
          <w:lang w:eastAsia="it-IT"/>
        </w:rPr>
        <w:t>OIV</w:t>
      </w:r>
      <w:r w:rsidRPr="007D1DFE">
        <w:rPr>
          <w:rFonts w:ascii="BookmanOldStyle" w:eastAsia="Times New Roman" w:hAnsi="BookmanOldStyle" w:cs="BookmanOldStyle"/>
          <w:sz w:val="24"/>
          <w:szCs w:val="24"/>
          <w:lang w:eastAsia="it-IT"/>
        </w:rPr>
        <w:t xml:space="preserve"> ed al Segretario generale, oltre che alla Direzione interessata.</w:t>
      </w: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numPr>
          <w:ilvl w:val="0"/>
          <w:numId w:val="8"/>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lastRenderedPageBreak/>
        <w:t xml:space="preserve">Diffusione di buone pratiche e valori. </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L’Amministrazione tutta dovrà essere coinvolta in un’azione volta a far emergere i positivi valori dell’agire amministrativo secondo i principi che </w:t>
      </w:r>
      <w:smartTag w:uri="urn:schemas-microsoft-com:office:smarttags" w:element="PersonName">
        <w:smartTagPr>
          <w:attr w:name="ProductID" w:val="la Costituzione"/>
        </w:smartTagPr>
        <w:r w:rsidRPr="007D1DFE">
          <w:rPr>
            <w:rFonts w:ascii="Times New Roman" w:eastAsia="Times New Roman" w:hAnsi="Times New Roman" w:cs="Times New Roman"/>
            <w:sz w:val="24"/>
            <w:szCs w:val="24"/>
            <w:lang w:eastAsia="it-IT"/>
          </w:rPr>
          <w:t>la Costituzione</w:t>
        </w:r>
      </w:smartTag>
      <w:r w:rsidRPr="007D1DFE">
        <w:rPr>
          <w:rFonts w:ascii="Times New Roman" w:eastAsia="Times New Roman" w:hAnsi="Times New Roman" w:cs="Times New Roman"/>
          <w:sz w:val="24"/>
          <w:szCs w:val="24"/>
          <w:lang w:eastAsia="it-IT"/>
        </w:rPr>
        <w:t xml:space="preserve"> detta per le </w:t>
      </w:r>
      <w:r w:rsidR="00A458E0" w:rsidRPr="007D1DFE">
        <w:rPr>
          <w:rFonts w:ascii="Times New Roman" w:eastAsia="Times New Roman" w:hAnsi="Times New Roman" w:cs="Times New Roman"/>
          <w:sz w:val="24"/>
          <w:szCs w:val="24"/>
          <w:lang w:eastAsia="it-IT"/>
        </w:rPr>
        <w:t>PA</w:t>
      </w:r>
      <w:r w:rsidRPr="007D1DFE">
        <w:rPr>
          <w:rFonts w:ascii="Times New Roman" w:eastAsia="Times New Roman" w:hAnsi="Times New Roman" w:cs="Times New Roman"/>
          <w:sz w:val="24"/>
          <w:szCs w:val="24"/>
          <w:lang w:eastAsia="it-IT"/>
        </w:rPr>
        <w:t xml:space="preserve">, ponendo nel giusto risalto quelle novità derivanti dalle continue riforme che negli ultimi anni hanno prospettato un cambio di passo nel loro agire, prima fra tutte la “trasparenza”, da intendersi ormai come accessibilità totale alla conoscenza del funzionamento e dell’attività della </w:t>
      </w:r>
      <w:r w:rsidR="00A458E0" w:rsidRPr="007D1DFE">
        <w:rPr>
          <w:rFonts w:ascii="Times New Roman" w:eastAsia="Times New Roman" w:hAnsi="Times New Roman" w:cs="Times New Roman"/>
          <w:sz w:val="24"/>
          <w:szCs w:val="24"/>
          <w:lang w:eastAsia="it-IT"/>
        </w:rPr>
        <w:t>PA</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E’ quindi auspicabile che l’Amministrazione, attraverso i propri canali di comunicazione istituzionale e di informazione, divulghi anche all’esterno quelle buone prassi instauratesi che possano contribuire ad innalzare il livello di fiducia dei cittadini verso la </w:t>
      </w:r>
      <w:r w:rsidR="00A458E0" w:rsidRPr="007D1DFE">
        <w:rPr>
          <w:rFonts w:ascii="Times New Roman" w:eastAsia="Times New Roman" w:hAnsi="Times New Roman" w:cs="Times New Roman"/>
          <w:sz w:val="24"/>
          <w:szCs w:val="24"/>
          <w:lang w:eastAsia="it-IT"/>
        </w:rPr>
        <w:t>PA</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numPr>
          <w:ilvl w:val="0"/>
          <w:numId w:val="8"/>
        </w:numPr>
        <w:autoSpaceDE w:val="0"/>
        <w:autoSpaceDN w:val="0"/>
        <w:adjustRightInd w:val="0"/>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Disciplina della procedura per l’aggiornamento annuale del PTPC.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autoSpaceDE w:val="0"/>
        <w:autoSpaceDN w:val="0"/>
        <w:adjustRightInd w:val="0"/>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Ai fini dell’aggiornamento del Piano, ciascun dirigente trasmette annualmente, entro il 30 settembre, al Segretario generale ovvero al Direttore del Servizio, in base alla ripartizione delle competenze, le proprie proposte relative all’individuazione dei processi per i quali è prefigurabile il rischio di corruzione, unitamente alle misure ritenute più idonee a prevenire l’insorgere dei relativi fenomeni. </w:t>
      </w: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Tali proposte sono vagliate, in base alle rispettive competenze, dal Segretario generale ovvero dal Direttore del Servizio, e quindi trasmesse, con eventuali altre indicazioni, al Responsabile P.C.T. entro il 15 ottobre. </w:t>
      </w: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Responsabile per la prevenzione della corruzione, sulla base delle proposte pervenute, trasmette entro il 30 novembre al Segretario generale l’aggiornamento del Piano triennale di prevenzione della corruzione per la successiva trasmissione all’Ufficio di Presidenza, ai fini dell’autorizzazione all’avvio della consultazione aperta, da effettuarsi mediante pubblicazione sul sito istituzionale del documento per una durata non inferiore a quindici giorni. </w:t>
      </w:r>
    </w:p>
    <w:p w:rsidR="007D1DFE" w:rsidRPr="007D1DFE" w:rsidRDefault="007D1DFE"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Lo schema del Piano è inviato alle Associazioni rappresentate nel Consiglio nazionale dei consumatori e degli utenti, alle Organizzazioni Sindacali e a quelle imprenditoriali, nonché all’Organismo Indipendente di Valutazione (OIV) costituito presso il Consiglio regionale. </w:t>
      </w: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L’Ufficio di Presidenza, terminata la fase di consultazione aperta ed acquisito il parere dell’</w:t>
      </w:r>
      <w:r w:rsidR="00896E6B" w:rsidRPr="007D1DFE">
        <w:rPr>
          <w:rFonts w:ascii="Times New Roman" w:eastAsia="Times New Roman" w:hAnsi="Times New Roman" w:cs="Times New Roman"/>
          <w:sz w:val="24"/>
          <w:szCs w:val="24"/>
          <w:lang w:eastAsia="it-IT"/>
        </w:rPr>
        <w:t>OIV</w:t>
      </w:r>
      <w:r w:rsidRPr="007D1DFE">
        <w:rPr>
          <w:rFonts w:ascii="Times New Roman" w:eastAsia="Times New Roman" w:hAnsi="Times New Roman" w:cs="Times New Roman"/>
          <w:sz w:val="24"/>
          <w:szCs w:val="24"/>
          <w:lang w:eastAsia="it-IT"/>
        </w:rPr>
        <w:t>, adotta la deliberazione recante l’aggiornamento del PTPC entro il 31 gennaio di ciascun anno.</w:t>
      </w: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Detta deliberazione dà atto del regolare svolgimento della procedura.</w:t>
      </w: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Come espressamente richiesto dal P.N.A., il Piano, una volta adottato, dovrà essere ampiamente pubblicizzato sia all’esterno sia all’interno dell’Amministrazione. </w:t>
      </w: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Oltre alla sua pubblicazione sul sito WEB dell’Amministrazione, attraverso i canali di cui la stessa dispone per la comunicazione istituzionale e per l’informazione, sarà data tempestiva notizia ai mezzi di informazione dei principali contenuti e degli elementi di novità del Piano. </w:t>
      </w:r>
    </w:p>
    <w:p w:rsidR="009903C3" w:rsidRPr="007D1DFE" w:rsidRDefault="009903C3" w:rsidP="007D1DFE">
      <w:pPr>
        <w:spacing w:line="240" w:lineRule="auto"/>
        <w:ind w:firstLine="540"/>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Il Responsabile per la prevenzione della corruzione provvede a trasmettere il Piano via e mail a tutti i dipendenti, illustrandone con una nota di presentazione gli aspetti salienti ed evidenziando i doveri e le responsabilità che da esso discendono nei confronti di tutti i soggetti che operano presso il Consiglio regionale.</w:t>
      </w:r>
    </w:p>
    <w:p w:rsidR="009903C3" w:rsidRPr="007D1DFE" w:rsidRDefault="009903C3" w:rsidP="007D1DFE">
      <w:pPr>
        <w:autoSpaceDE w:val="0"/>
        <w:autoSpaceDN w:val="0"/>
        <w:adjustRightInd w:val="0"/>
        <w:spacing w:line="240" w:lineRule="auto"/>
        <w:ind w:firstLine="540"/>
        <w:jc w:val="both"/>
        <w:rPr>
          <w:rFonts w:ascii="BookmanOldStyle" w:eastAsia="Times New Roman" w:hAnsi="BookmanOldStyle" w:cs="BookmanOldStyle"/>
          <w:sz w:val="24"/>
          <w:szCs w:val="24"/>
          <w:lang w:eastAsia="it-IT"/>
        </w:rPr>
      </w:pPr>
      <w:r w:rsidRPr="007D1DFE">
        <w:rPr>
          <w:rFonts w:ascii="Times New Roman" w:eastAsia="Times New Roman" w:hAnsi="Times New Roman" w:cs="Times New Roman"/>
          <w:sz w:val="24"/>
          <w:szCs w:val="24"/>
          <w:lang w:eastAsia="it-IT"/>
        </w:rPr>
        <w:t>Il Piano può essere modificato anche nel corso d'anno, su proposta del Responsabile, allorché siano state accertate significative violazioni delle norme in materia di anticorruzione ed in tutti casi in cui, a seguito di incontri informativi annuali sull’aggiornamento del Piano medesimo, dovessero emergere esigenze di integrazione.</w:t>
      </w:r>
    </w:p>
    <w:p w:rsidR="009903C3" w:rsidRPr="007D1DFE" w:rsidRDefault="009903C3" w:rsidP="007D1DFE">
      <w:pPr>
        <w:spacing w:line="240" w:lineRule="auto"/>
        <w:jc w:val="center"/>
        <w:rPr>
          <w:rFonts w:ascii="Times New Roman" w:eastAsia="Times New Roman" w:hAnsi="Times New Roman" w:cs="Times New Roman"/>
          <w:b/>
          <w:sz w:val="28"/>
          <w:szCs w:val="28"/>
          <w:lang w:eastAsia="it-IT"/>
        </w:rPr>
      </w:pPr>
      <w:r w:rsidRPr="007D1DFE">
        <w:rPr>
          <w:rFonts w:ascii="BookmanOldStyle" w:eastAsia="Times New Roman" w:hAnsi="BookmanOldStyle" w:cs="BookmanOldStyle"/>
          <w:sz w:val="24"/>
          <w:szCs w:val="24"/>
          <w:lang w:eastAsia="it-IT"/>
        </w:rPr>
        <w:br w:type="page"/>
      </w:r>
      <w:r w:rsidRPr="007D1DFE">
        <w:rPr>
          <w:rFonts w:ascii="Times New Roman" w:eastAsia="Times New Roman" w:hAnsi="Times New Roman" w:cs="Times New Roman"/>
          <w:b/>
          <w:sz w:val="28"/>
          <w:szCs w:val="28"/>
          <w:lang w:eastAsia="it-IT"/>
        </w:rPr>
        <w:lastRenderedPageBreak/>
        <w:t>Sezione II</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MODALITA’ DI ATTUAZIONE DELLA TRASPARENZA</w:t>
      </w: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center"/>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6. La Trasparenza.</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L’estrema rilevanza che il Legislatore attribuisce a tale aspetto dell’azione delle </w:t>
      </w:r>
      <w:r w:rsidR="00A458E0" w:rsidRPr="007D1DFE">
        <w:rPr>
          <w:rFonts w:ascii="Times New Roman" w:eastAsia="Times New Roman" w:hAnsi="Times New Roman" w:cs="Times New Roman"/>
          <w:sz w:val="24"/>
          <w:szCs w:val="24"/>
          <w:lang w:eastAsia="it-IT"/>
        </w:rPr>
        <w:t>PA</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vertAlign w:val="superscript"/>
          <w:lang w:eastAsia="it-IT"/>
        </w:rPr>
        <w:footnoteReference w:id="50"/>
      </w:r>
      <w:r w:rsidRPr="007D1DFE">
        <w:rPr>
          <w:rFonts w:ascii="Times New Roman" w:eastAsia="Times New Roman" w:hAnsi="Times New Roman" w:cs="Times New Roman"/>
          <w:sz w:val="24"/>
          <w:szCs w:val="24"/>
          <w:lang w:eastAsia="it-IT"/>
        </w:rPr>
        <w:t xml:space="preserve"> è ricavabile dal fatto che essa “</w:t>
      </w:r>
      <w:r w:rsidRPr="007D1DFE">
        <w:rPr>
          <w:rFonts w:ascii="Times New Roman" w:eastAsia="Times New Roman" w:hAnsi="Times New Roman" w:cs="Times New Roman"/>
          <w:i/>
          <w:sz w:val="24"/>
          <w:szCs w:val="24"/>
          <w:lang w:eastAsia="it-IT"/>
        </w:rPr>
        <w:t>costituisce livello essenziale delle prestazioni concernenti i diritti sociali e civili ai sensi dell’articolo 117, secondo comma, lettera m), della Costituzione…</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vertAlign w:val="superscript"/>
          <w:lang w:eastAsia="it-IT"/>
        </w:rPr>
        <w:footnoteReference w:id="51"/>
      </w:r>
      <w:r w:rsidRPr="007D1DFE">
        <w:rPr>
          <w:rFonts w:ascii="Times New Roman" w:eastAsia="Times New Roman" w:hAnsi="Times New Roman" w:cs="Times New Roman"/>
          <w:sz w:val="24"/>
          <w:szCs w:val="24"/>
          <w:lang w:eastAsia="it-IT"/>
        </w:rPr>
        <w:t>. Ciò comporta che la disciplina di detta “materia” rientra negli ambiti di competenza “</w:t>
      </w:r>
      <w:r w:rsidRPr="007D1DFE">
        <w:rPr>
          <w:rFonts w:ascii="Times New Roman" w:eastAsia="Times New Roman" w:hAnsi="Times New Roman" w:cs="Times New Roman"/>
          <w:i/>
          <w:sz w:val="24"/>
          <w:szCs w:val="24"/>
          <w:lang w:eastAsia="it-IT"/>
        </w:rPr>
        <w:t>esclusiva</w:t>
      </w:r>
      <w:r w:rsidRPr="007D1DFE">
        <w:rPr>
          <w:rFonts w:ascii="Times New Roman" w:eastAsia="Times New Roman" w:hAnsi="Times New Roman" w:cs="Times New Roman"/>
          <w:sz w:val="24"/>
          <w:szCs w:val="24"/>
          <w:lang w:eastAsia="it-IT"/>
        </w:rPr>
        <w:t xml:space="preserve">” della legge statale </w:t>
      </w:r>
      <w:r w:rsidRPr="007D1DFE">
        <w:rPr>
          <w:rFonts w:ascii="Times New Roman" w:eastAsia="Times New Roman" w:hAnsi="Times New Roman" w:cs="Times New Roman"/>
          <w:sz w:val="24"/>
          <w:szCs w:val="24"/>
          <w:vertAlign w:val="superscript"/>
          <w:lang w:eastAsia="it-IT"/>
        </w:rPr>
        <w:footnoteReference w:id="52"/>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Per essere più precisi, come ha affermato </w:t>
      </w:r>
      <w:smartTag w:uri="urn:schemas-microsoft-com:office:smarttags" w:element="PersonName">
        <w:smartTagPr>
          <w:attr w:name="ProductID" w:val="la Corte"/>
        </w:smartTagPr>
        <w:r w:rsidRPr="007D1DFE">
          <w:rPr>
            <w:rFonts w:ascii="Times New Roman" w:eastAsia="Times New Roman" w:hAnsi="Times New Roman" w:cs="Times New Roman"/>
            <w:sz w:val="24"/>
            <w:szCs w:val="24"/>
            <w:lang w:eastAsia="it-IT"/>
          </w:rPr>
          <w:t>la Corte</w:t>
        </w:r>
      </w:smartTag>
      <w:r w:rsidRPr="007D1DFE">
        <w:rPr>
          <w:rFonts w:ascii="Times New Roman" w:eastAsia="Times New Roman" w:hAnsi="Times New Roman" w:cs="Times New Roman"/>
          <w:sz w:val="24"/>
          <w:szCs w:val="24"/>
          <w:lang w:eastAsia="it-IT"/>
        </w:rPr>
        <w:t xml:space="preserve"> costituzionale con la sentenza 10/2010 relativa proprio alla competenza dello Stato in ordine ai livelli essenziali delle prestazioni, non si tratta di una materia in senso stretto, “</w:t>
      </w:r>
      <w:r w:rsidRPr="007D1DFE">
        <w:rPr>
          <w:rFonts w:ascii="Times New Roman" w:eastAsia="Times New Roman" w:hAnsi="Times New Roman" w:cs="Times New Roman"/>
          <w:i/>
          <w:sz w:val="24"/>
          <w:szCs w:val="24"/>
          <w:lang w:eastAsia="it-IT"/>
        </w:rPr>
        <w:t>bensì di una competenza trasversale, idonea cioè ad investire tutte le materie, rispetto alle quali il legislatore statale deve poter predisporre le misure necessarie per attribuire a tutti i destinatari, sull’intero territorio nazionale, il godimento di prestazioni garantite come contenuto essenziale di tali diritti, senza che la legislazione regionale possa limitarle o condizionarle</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Nel corso del 2016 è stato approvato il decreto legislativo 25 maggio 2016, n. 97 (</w:t>
      </w:r>
      <w:r w:rsidRPr="007D1DFE">
        <w:rPr>
          <w:rFonts w:ascii="Times New Roman" w:eastAsia="Times New Roman" w:hAnsi="Times New Roman" w:cs="Times New Roman"/>
          <w:i/>
          <w:sz w:val="24"/>
          <w:szCs w:val="24"/>
          <w:lang w:eastAsia="it-IT"/>
        </w:rPr>
        <w:t xml:space="preserve">Revisione e semplificazione delle disposizioni in materia di prevenzione della corruzione, </w:t>
      </w:r>
      <w:proofErr w:type="spellStart"/>
      <w:r w:rsidRPr="007D1DFE">
        <w:rPr>
          <w:rFonts w:ascii="Times New Roman" w:eastAsia="Times New Roman" w:hAnsi="Times New Roman" w:cs="Times New Roman"/>
          <w:i/>
          <w:sz w:val="24"/>
          <w:szCs w:val="24"/>
          <w:lang w:eastAsia="it-IT"/>
        </w:rPr>
        <w:t>pubblicita'</w:t>
      </w:r>
      <w:proofErr w:type="spellEnd"/>
      <w:r w:rsidRPr="007D1DFE">
        <w:rPr>
          <w:rFonts w:ascii="Times New Roman" w:eastAsia="Times New Roman" w:hAnsi="Times New Roman" w:cs="Times New Roman"/>
          <w:i/>
          <w:sz w:val="24"/>
          <w:szCs w:val="24"/>
          <w:lang w:eastAsia="it-IT"/>
        </w:rPr>
        <w:t xml:space="preserve"> e trasparenza, correttivo della legge 6 novembre 2012, n. 190 e del decreto legislativo 14 marzo 2013, n. 33, ai sensi dell'articolo 7 della legge 7 agosto 2015, n. 124, in materia di riorganizzazione delle amministrazioni pubbliche</w:t>
      </w:r>
      <w:r w:rsidRPr="007D1DFE">
        <w:rPr>
          <w:rFonts w:ascii="Times New Roman" w:eastAsia="Times New Roman" w:hAnsi="Times New Roman" w:cs="Times New Roman"/>
          <w:sz w:val="24"/>
          <w:szCs w:val="24"/>
          <w:lang w:eastAsia="it-IT"/>
        </w:rPr>
        <w:t>), in attuazione di una delle deleghe conferite dal Parlamento al Governo mediante la legge 7 agosto 2015, n. 124.</w:t>
      </w:r>
      <w:r w:rsidRPr="007D1DFE">
        <w:rPr>
          <w:rFonts w:ascii="Times New Roman" w:eastAsia="Times New Roman" w:hAnsi="Times New Roman" w:cs="Times New Roman"/>
          <w:sz w:val="24"/>
          <w:szCs w:val="24"/>
          <w:vertAlign w:val="superscript"/>
          <w:lang w:eastAsia="it-IT"/>
        </w:rPr>
        <w:footnoteReference w:id="53"/>
      </w:r>
    </w:p>
    <w:p w:rsidR="009903C3" w:rsidRPr="007D1DFE" w:rsidRDefault="009903C3" w:rsidP="007D1DFE">
      <w:pPr>
        <w:spacing w:line="240" w:lineRule="auto"/>
        <w:jc w:val="both"/>
        <w:rPr>
          <w:rFonts w:ascii="Times New Roman" w:eastAsia="Times New Roman" w:hAnsi="Times New Roman" w:cs="Times New Roman"/>
          <w:b/>
          <w:kern w:val="3"/>
          <w:sz w:val="24"/>
          <w:szCs w:val="24"/>
          <w:lang w:eastAsia="it-IT" w:bidi="hi-IN"/>
        </w:rPr>
      </w:pPr>
      <w:r w:rsidRPr="007D1DFE">
        <w:rPr>
          <w:rFonts w:ascii="Times New Roman" w:eastAsia="Times New Roman" w:hAnsi="Times New Roman" w:cs="Times New Roman"/>
          <w:sz w:val="24"/>
          <w:szCs w:val="24"/>
          <w:lang w:eastAsia="it-IT"/>
        </w:rPr>
        <w:tab/>
        <w:t xml:space="preserve">L’art. 7, c. 1, della legge delega 124/2015 </w:t>
      </w:r>
      <w:r w:rsidRPr="007D1DFE">
        <w:rPr>
          <w:rFonts w:ascii="Times New Roman" w:eastAsia="Times New Roman" w:hAnsi="Times New Roman" w:cs="Times New Roman"/>
          <w:sz w:val="24"/>
          <w:szCs w:val="24"/>
          <w:vertAlign w:val="superscript"/>
          <w:lang w:eastAsia="it-IT"/>
        </w:rPr>
        <w:footnoteReference w:id="54"/>
      </w:r>
      <w:r w:rsidRPr="007D1DFE">
        <w:rPr>
          <w:rFonts w:ascii="Times New Roman" w:eastAsia="Times New Roman" w:hAnsi="Times New Roman" w:cs="Times New Roman"/>
          <w:sz w:val="24"/>
          <w:szCs w:val="24"/>
          <w:lang w:eastAsia="it-IT"/>
        </w:rPr>
        <w:t xml:space="preserve"> aveva infatti stabilito che il Governo fosse delegato ad adottare, entro sei mesi dalla data di entrata in vigore della stessa legge, “</w:t>
      </w:r>
      <w:r w:rsidRPr="007D1DFE">
        <w:rPr>
          <w:rFonts w:ascii="Times New Roman" w:eastAsia="Times New Roman" w:hAnsi="Times New Roman" w:cs="Times New Roman"/>
          <w:i/>
          <w:sz w:val="24"/>
          <w:szCs w:val="24"/>
          <w:lang w:eastAsia="it-IT"/>
        </w:rPr>
        <w:t>uno o più decreti legislativi recanti disposizioni integrative e correttive del </w:t>
      </w:r>
      <w:hyperlink r:id="rId9" w:history="1">
        <w:r w:rsidRPr="007D1DFE">
          <w:rPr>
            <w:rFonts w:ascii="Times New Roman" w:eastAsia="Times New Roman" w:hAnsi="Times New Roman" w:cs="Times New Roman"/>
            <w:i/>
            <w:sz w:val="24"/>
            <w:szCs w:val="24"/>
            <w:lang w:eastAsia="it-IT"/>
          </w:rPr>
          <w:t>decreto legislativo 14 marzo 2013, n. 33</w:t>
        </w:r>
      </w:hyperlink>
      <w:r w:rsidRPr="007D1DFE">
        <w:rPr>
          <w:rFonts w:ascii="Times New Roman" w:eastAsia="Times New Roman" w:hAnsi="Times New Roman" w:cs="Times New Roman"/>
          <w:i/>
          <w:sz w:val="24"/>
          <w:szCs w:val="24"/>
          <w:lang w:eastAsia="it-IT"/>
        </w:rPr>
        <w:t>, in materia di pubblicità, trasparenza e diffusione di informazioni da parte delle pubbliche amministrazioni, nel rispetto dei principi e criteri direttivi stabiliti dall'</w:t>
      </w:r>
      <w:hyperlink r:id="rId10" w:anchor="01.32" w:history="1">
        <w:r w:rsidRPr="007D1DFE">
          <w:rPr>
            <w:rFonts w:ascii="Times New Roman" w:eastAsia="Times New Roman" w:hAnsi="Times New Roman" w:cs="Times New Roman"/>
            <w:i/>
            <w:sz w:val="24"/>
            <w:szCs w:val="24"/>
            <w:lang w:eastAsia="it-IT"/>
          </w:rPr>
          <w:t>articolo 1, comma 35, della legge 6 novembre 2012, n. 190</w:t>
        </w:r>
      </w:hyperlink>
      <w:r w:rsidRPr="007D1DFE">
        <w:rPr>
          <w:rFonts w:ascii="Times New Roman" w:eastAsia="Times New Roman" w:hAnsi="Times New Roman" w:cs="Times New Roman"/>
          <w:sz w:val="24"/>
          <w:szCs w:val="24"/>
          <w:lang w:eastAsia="it-IT"/>
        </w:rPr>
        <w:t xml:space="preserve">”, nonché di ulteriori principi e criteri direttivi. </w:t>
      </w:r>
    </w:p>
    <w:p w:rsidR="009903C3" w:rsidRPr="007D1DFE" w:rsidRDefault="00F904AD" w:rsidP="007D1DFE">
      <w:pPr>
        <w:widowControl w:val="0"/>
        <w:suppressAutoHyphens/>
        <w:autoSpaceDN w:val="0"/>
        <w:spacing w:line="240" w:lineRule="auto"/>
        <w:ind w:firstLine="708"/>
        <w:jc w:val="both"/>
        <w:textAlignment w:val="baseline"/>
        <w:rPr>
          <w:rFonts w:ascii="Times New Roman" w:eastAsia="SimSun" w:hAnsi="Times New Roman" w:cs="Times New Roman"/>
          <w:kern w:val="3"/>
          <w:sz w:val="24"/>
          <w:szCs w:val="24"/>
          <w:lang w:eastAsia="zh-CN" w:bidi="hi-IN"/>
        </w:rPr>
      </w:pPr>
      <w:r w:rsidRPr="007D1DFE">
        <w:rPr>
          <w:rFonts w:ascii="Times New Roman" w:eastAsia="SimSun" w:hAnsi="Times New Roman" w:cs="Times New Roman"/>
          <w:kern w:val="3"/>
          <w:sz w:val="24"/>
          <w:szCs w:val="24"/>
          <w:lang w:eastAsia="zh-CN" w:bidi="hi-IN"/>
        </w:rPr>
        <w:t>S</w:t>
      </w:r>
      <w:r w:rsidR="009903C3" w:rsidRPr="007D1DFE">
        <w:rPr>
          <w:rFonts w:ascii="Times New Roman" w:eastAsia="SimSun" w:hAnsi="Times New Roman" w:cs="Times New Roman"/>
          <w:kern w:val="3"/>
          <w:sz w:val="24"/>
          <w:szCs w:val="24"/>
          <w:lang w:eastAsia="zh-CN" w:bidi="hi-IN"/>
        </w:rPr>
        <w:t xml:space="preserve">i ritiene opportuno evidenziare come </w:t>
      </w:r>
      <w:r w:rsidRPr="007D1DFE">
        <w:rPr>
          <w:rFonts w:ascii="Times New Roman" w:eastAsia="SimSun" w:hAnsi="Times New Roman" w:cs="Times New Roman"/>
          <w:kern w:val="3"/>
          <w:sz w:val="24"/>
          <w:szCs w:val="24"/>
          <w:lang w:eastAsia="zh-CN" w:bidi="hi-IN"/>
        </w:rPr>
        <w:t xml:space="preserve">già </w:t>
      </w:r>
      <w:r w:rsidR="009903C3" w:rsidRPr="007D1DFE">
        <w:rPr>
          <w:rFonts w:ascii="Times New Roman" w:eastAsia="SimSun" w:hAnsi="Times New Roman" w:cs="Times New Roman"/>
          <w:kern w:val="3"/>
          <w:sz w:val="24"/>
          <w:szCs w:val="24"/>
          <w:lang w:eastAsia="zh-CN" w:bidi="hi-IN"/>
        </w:rPr>
        <w:t>lo Statuto regionale, all’articolo 6, comma 4, cont</w:t>
      </w:r>
      <w:r w:rsidRPr="007D1DFE">
        <w:rPr>
          <w:rFonts w:ascii="Times New Roman" w:eastAsia="SimSun" w:hAnsi="Times New Roman" w:cs="Times New Roman"/>
          <w:kern w:val="3"/>
          <w:sz w:val="24"/>
          <w:szCs w:val="24"/>
          <w:lang w:eastAsia="zh-CN" w:bidi="hi-IN"/>
        </w:rPr>
        <w:t>enga</w:t>
      </w:r>
      <w:r w:rsidR="009903C3" w:rsidRPr="007D1DFE">
        <w:rPr>
          <w:rFonts w:ascii="Times New Roman" w:eastAsia="SimSun" w:hAnsi="Times New Roman" w:cs="Times New Roman"/>
          <w:kern w:val="3"/>
          <w:sz w:val="24"/>
          <w:szCs w:val="24"/>
          <w:lang w:eastAsia="zh-CN" w:bidi="hi-IN"/>
        </w:rPr>
        <w:t xml:space="preserve"> un’importante affermazione del principio di trasparenza sostanziale, stabilendo che la Regione operi affinché sia garantito</w:t>
      </w:r>
      <w:r w:rsidR="009903C3" w:rsidRPr="007D1DFE">
        <w:rPr>
          <w:rFonts w:ascii="Times New Roman" w:eastAsia="Calibri" w:hAnsi="Times New Roman" w:cs="Times New Roman"/>
          <w:sz w:val="24"/>
          <w:szCs w:val="24"/>
        </w:rPr>
        <w:t xml:space="preserve"> </w:t>
      </w:r>
      <w:r w:rsidR="009903C3" w:rsidRPr="007D1DFE">
        <w:rPr>
          <w:rFonts w:ascii="Times New Roman" w:eastAsia="SimSun" w:hAnsi="Times New Roman" w:cs="Times New Roman"/>
          <w:i/>
          <w:kern w:val="3"/>
          <w:sz w:val="24"/>
          <w:szCs w:val="24"/>
          <w:lang w:eastAsia="zh-CN" w:bidi="hi-IN"/>
        </w:rPr>
        <w:t>“..il diritto all’informazione e alla fruizione dei mezzi di comunicazione di massa e delle reti informatiche.”</w:t>
      </w:r>
      <w:r w:rsidR="009903C3" w:rsidRPr="007D1DFE">
        <w:rPr>
          <w:rFonts w:ascii="Times New Roman" w:eastAsia="SimSun" w:hAnsi="Times New Roman" w:cs="Times New Roman"/>
          <w:kern w:val="3"/>
          <w:sz w:val="24"/>
          <w:szCs w:val="24"/>
          <w:lang w:eastAsia="zh-CN" w:bidi="hi-IN"/>
        </w:rPr>
        <w:t xml:space="preserve"> </w:t>
      </w:r>
    </w:p>
    <w:p w:rsidR="009903C3" w:rsidRPr="007D1DFE" w:rsidRDefault="009903C3" w:rsidP="007D1DFE">
      <w:pPr>
        <w:widowControl w:val="0"/>
        <w:suppressAutoHyphens/>
        <w:autoSpaceDN w:val="0"/>
        <w:spacing w:line="240" w:lineRule="auto"/>
        <w:ind w:firstLine="708"/>
        <w:jc w:val="both"/>
        <w:textAlignment w:val="baseline"/>
        <w:rPr>
          <w:rFonts w:ascii="Times New Roman" w:eastAsia="SimSun" w:hAnsi="Times New Roman" w:cs="Times New Roman"/>
          <w:kern w:val="3"/>
          <w:sz w:val="24"/>
          <w:szCs w:val="24"/>
          <w:lang w:eastAsia="zh-CN" w:bidi="hi-IN"/>
        </w:rPr>
      </w:pPr>
      <w:r w:rsidRPr="007D1DFE">
        <w:rPr>
          <w:rFonts w:ascii="Times New Roman" w:eastAsia="SimSun" w:hAnsi="Times New Roman" w:cs="Times New Roman"/>
          <w:kern w:val="3"/>
          <w:sz w:val="24"/>
          <w:szCs w:val="24"/>
          <w:lang w:eastAsia="zh-CN" w:bidi="hi-IN"/>
        </w:rPr>
        <w:t xml:space="preserve">Il successivo progressivo affermarsi, a livello di legislazione statale, della trasparenza come principio informatore dell’agire pubblico, è stato recepito dal legislatore regionale in particolare agli </w:t>
      </w:r>
      <w:r w:rsidRPr="007D1DFE">
        <w:rPr>
          <w:rFonts w:ascii="Times New Roman" w:eastAsia="SimSun" w:hAnsi="Times New Roman" w:cs="Times New Roman"/>
          <w:kern w:val="3"/>
          <w:sz w:val="24"/>
          <w:szCs w:val="24"/>
          <w:lang w:eastAsia="zh-CN" w:bidi="hi-IN"/>
        </w:rPr>
        <w:lastRenderedPageBreak/>
        <w:t xml:space="preserve">articoli 11, 12 e 13 della legge regionale 16 marzo 2011, n. 1 </w:t>
      </w:r>
      <w:r w:rsidRPr="007D1DFE">
        <w:rPr>
          <w:rFonts w:ascii="Times New Roman" w:eastAsia="SimSun" w:hAnsi="Times New Roman" w:cs="Mangal"/>
          <w:kern w:val="3"/>
          <w:sz w:val="24"/>
          <w:szCs w:val="24"/>
          <w:vertAlign w:val="superscript"/>
          <w:lang w:eastAsia="zh-CN" w:bidi="hi-IN"/>
        </w:rPr>
        <w:footnoteReference w:id="55"/>
      </w:r>
      <w:r w:rsidRPr="007D1DFE">
        <w:rPr>
          <w:rFonts w:ascii="Times New Roman" w:eastAsia="SimSun" w:hAnsi="Times New Roman" w:cs="Times New Roman"/>
          <w:kern w:val="3"/>
          <w:sz w:val="24"/>
          <w:szCs w:val="24"/>
          <w:lang w:eastAsia="zh-CN" w:bidi="hi-IN"/>
        </w:rPr>
        <w:t>.</w:t>
      </w:r>
    </w:p>
    <w:p w:rsidR="009903C3" w:rsidRPr="007D1DFE" w:rsidRDefault="009903C3" w:rsidP="007D1DFE">
      <w:pPr>
        <w:widowControl w:val="0"/>
        <w:suppressAutoHyphens/>
        <w:autoSpaceDN w:val="0"/>
        <w:spacing w:line="240" w:lineRule="auto"/>
        <w:ind w:firstLine="708"/>
        <w:jc w:val="both"/>
        <w:textAlignment w:val="baseline"/>
        <w:rPr>
          <w:rFonts w:ascii="Times New Roman" w:eastAsia="SimSun" w:hAnsi="Times New Roman" w:cs="Times New Roman"/>
          <w:kern w:val="3"/>
          <w:sz w:val="24"/>
          <w:szCs w:val="24"/>
          <w:lang w:eastAsia="zh-CN" w:bidi="hi-IN"/>
        </w:rPr>
      </w:pPr>
      <w:r w:rsidRPr="007D1DFE">
        <w:rPr>
          <w:rFonts w:ascii="Times New Roman" w:eastAsia="SimSun" w:hAnsi="Times New Roman" w:cs="Times New Roman"/>
          <w:kern w:val="3"/>
          <w:sz w:val="24"/>
          <w:szCs w:val="24"/>
          <w:lang w:eastAsia="zh-CN" w:bidi="hi-IN"/>
        </w:rPr>
        <w:t xml:space="preserve">Più specificamente, tali articoli della legge regionale </w:t>
      </w:r>
      <w:r w:rsidRPr="007D1DFE">
        <w:rPr>
          <w:rFonts w:ascii="Times New Roman" w:eastAsia="SimSun" w:hAnsi="Times New Roman" w:cs="Mangal"/>
          <w:kern w:val="3"/>
          <w:sz w:val="24"/>
          <w:szCs w:val="24"/>
          <w:vertAlign w:val="superscript"/>
          <w:lang w:eastAsia="zh-CN" w:bidi="hi-IN"/>
        </w:rPr>
        <w:footnoteReference w:id="56"/>
      </w:r>
      <w:r w:rsidRPr="007D1DFE">
        <w:rPr>
          <w:rFonts w:ascii="Times New Roman" w:eastAsia="SimSun" w:hAnsi="Times New Roman" w:cs="Times New Roman"/>
          <w:kern w:val="3"/>
          <w:sz w:val="24"/>
          <w:szCs w:val="24"/>
          <w:lang w:eastAsia="zh-CN" w:bidi="hi-IN"/>
        </w:rPr>
        <w:t xml:space="preserve">, in attuazione dell’articolo 11 del d.lgs. 150/2009 (da ultimo abrogato dall’art. 53, comma 1, </w:t>
      </w:r>
      <w:proofErr w:type="spellStart"/>
      <w:r w:rsidRPr="007D1DFE">
        <w:rPr>
          <w:rFonts w:ascii="Times New Roman" w:eastAsia="SimSun" w:hAnsi="Times New Roman" w:cs="Times New Roman"/>
          <w:kern w:val="3"/>
          <w:sz w:val="24"/>
          <w:szCs w:val="24"/>
          <w:lang w:eastAsia="zh-CN" w:bidi="hi-IN"/>
        </w:rPr>
        <w:t>lett</w:t>
      </w:r>
      <w:proofErr w:type="spellEnd"/>
      <w:r w:rsidRPr="007D1DFE">
        <w:rPr>
          <w:rFonts w:ascii="Times New Roman" w:eastAsia="SimSun" w:hAnsi="Times New Roman" w:cs="Times New Roman"/>
          <w:kern w:val="3"/>
          <w:sz w:val="24"/>
          <w:szCs w:val="24"/>
          <w:lang w:eastAsia="zh-CN" w:bidi="hi-IN"/>
        </w:rPr>
        <w:t>. i), del d.lgs. 33/2013) hanno disciplinato l’obbligo, per la Regione e gli enti pubblici da essa dipendenti, rispettivamente di approvazione del programma triennale per la trasparenza e l’integrità</w:t>
      </w:r>
      <w:r w:rsidR="00DE5D8F" w:rsidRPr="007D1DFE">
        <w:rPr>
          <w:rFonts w:ascii="Times New Roman" w:eastAsia="SimSun" w:hAnsi="Times New Roman" w:cs="Times New Roman"/>
          <w:kern w:val="3"/>
          <w:sz w:val="24"/>
          <w:szCs w:val="24"/>
          <w:lang w:eastAsia="zh-CN" w:bidi="hi-IN"/>
        </w:rPr>
        <w:t xml:space="preserve"> (da intendersi oggi come sezione nell’ambito del </w:t>
      </w:r>
      <w:r w:rsidR="00896E6B" w:rsidRPr="007D1DFE">
        <w:rPr>
          <w:rFonts w:ascii="Times New Roman" w:eastAsia="SimSun" w:hAnsi="Times New Roman" w:cs="Times New Roman"/>
          <w:kern w:val="3"/>
          <w:sz w:val="24"/>
          <w:szCs w:val="24"/>
          <w:lang w:eastAsia="zh-CN" w:bidi="hi-IN"/>
        </w:rPr>
        <w:t>PTPC</w:t>
      </w:r>
      <w:r w:rsidR="00DE5D8F" w:rsidRPr="007D1DFE">
        <w:rPr>
          <w:rFonts w:ascii="Times New Roman" w:eastAsia="SimSun" w:hAnsi="Times New Roman" w:cs="Times New Roman"/>
          <w:kern w:val="3"/>
          <w:sz w:val="24"/>
          <w:szCs w:val="24"/>
          <w:lang w:eastAsia="zh-CN" w:bidi="hi-IN"/>
        </w:rPr>
        <w:t>)</w:t>
      </w:r>
      <w:r w:rsidRPr="007D1DFE">
        <w:rPr>
          <w:rFonts w:ascii="Times New Roman" w:eastAsia="SimSun" w:hAnsi="Times New Roman" w:cs="Times New Roman"/>
          <w:kern w:val="3"/>
          <w:sz w:val="24"/>
          <w:szCs w:val="24"/>
          <w:lang w:eastAsia="zh-CN" w:bidi="hi-IN"/>
        </w:rPr>
        <w:t xml:space="preserve">, di pubblicazione sui siti istituzionali dei provvedimenti amministrativi e delle informazioni sui soggetti operanti nella pubblica amministrazione e di organizzazione sugli stessi siti web di una specifica area dedicata alle tematiche della trasparenza dell’azione amministrativa. </w:t>
      </w:r>
    </w:p>
    <w:p w:rsidR="009903C3" w:rsidRPr="007D1DFE" w:rsidRDefault="009903C3" w:rsidP="007D1DFE">
      <w:pPr>
        <w:widowControl w:val="0"/>
        <w:suppressAutoHyphens/>
        <w:autoSpaceDN w:val="0"/>
        <w:spacing w:line="240" w:lineRule="auto"/>
        <w:ind w:firstLine="708"/>
        <w:jc w:val="both"/>
        <w:textAlignment w:val="baseline"/>
        <w:rPr>
          <w:rFonts w:ascii="Times New Roman" w:eastAsia="SimSun" w:hAnsi="Times New Roman" w:cs="Times New Roman"/>
          <w:kern w:val="3"/>
          <w:sz w:val="24"/>
          <w:szCs w:val="24"/>
          <w:shd w:val="clear" w:color="auto" w:fill="FFFFFF"/>
          <w:lang w:eastAsia="zh-CN" w:bidi="hi-IN"/>
        </w:rPr>
      </w:pPr>
      <w:r w:rsidRPr="007D1DFE">
        <w:rPr>
          <w:rFonts w:ascii="Times New Roman" w:eastAsia="SimSun" w:hAnsi="Times New Roman" w:cs="Times New Roman"/>
          <w:kern w:val="3"/>
          <w:sz w:val="24"/>
          <w:szCs w:val="24"/>
          <w:lang w:eastAsia="zh-CN" w:bidi="hi-IN"/>
        </w:rPr>
        <w:t>Inoltre, un’a</w:t>
      </w:r>
      <w:r w:rsidR="00BF45B1" w:rsidRPr="007D1DFE">
        <w:rPr>
          <w:rFonts w:ascii="Times New Roman" w:eastAsia="SimSun" w:hAnsi="Times New Roman" w:cs="Times New Roman"/>
          <w:kern w:val="3"/>
          <w:sz w:val="24"/>
          <w:szCs w:val="24"/>
          <w:lang w:eastAsia="zh-CN" w:bidi="hi-IN"/>
        </w:rPr>
        <w:t>l</w:t>
      </w:r>
      <w:r w:rsidRPr="007D1DFE">
        <w:rPr>
          <w:rFonts w:ascii="Times New Roman" w:eastAsia="SimSun" w:hAnsi="Times New Roman" w:cs="Times New Roman"/>
          <w:kern w:val="3"/>
          <w:sz w:val="24"/>
          <w:szCs w:val="24"/>
          <w:lang w:eastAsia="zh-CN" w:bidi="hi-IN"/>
        </w:rPr>
        <w:t xml:space="preserve">tra legge regionale – la n. 4/2013 - </w:t>
      </w:r>
      <w:r w:rsidRPr="007D1DFE">
        <w:rPr>
          <w:rFonts w:ascii="Times New Roman" w:eastAsia="SimSun" w:hAnsi="Times New Roman" w:cs="Times New Roman"/>
          <w:kern w:val="3"/>
          <w:sz w:val="24"/>
          <w:szCs w:val="24"/>
          <w:shd w:val="clear" w:color="auto" w:fill="FFFFFF"/>
          <w:lang w:eastAsia="zh-CN" w:bidi="hi-IN"/>
        </w:rPr>
        <w:t>ha disciplinato, sia pure in via provvisoria nelle more della “</w:t>
      </w:r>
      <w:r w:rsidRPr="007D1DFE">
        <w:rPr>
          <w:rFonts w:ascii="Times New Roman" w:eastAsia="SimSun" w:hAnsi="Times New Roman" w:cs="Times New Roman"/>
          <w:i/>
          <w:kern w:val="3"/>
          <w:sz w:val="24"/>
          <w:szCs w:val="24"/>
          <w:shd w:val="clear" w:color="auto" w:fill="FFFFFF"/>
          <w:lang w:eastAsia="zh-CN" w:bidi="hi-IN"/>
        </w:rPr>
        <w:t>legge regionale in materia di trasparenza</w:t>
      </w:r>
      <w:r w:rsidRPr="007D1DFE">
        <w:rPr>
          <w:rFonts w:ascii="Times New Roman" w:eastAsia="SimSun" w:hAnsi="Times New Roman" w:cs="Times New Roman"/>
          <w:kern w:val="3"/>
          <w:sz w:val="24"/>
          <w:szCs w:val="24"/>
          <w:shd w:val="clear" w:color="auto" w:fill="FFFFFF"/>
          <w:lang w:eastAsia="zh-CN" w:bidi="hi-IN"/>
        </w:rPr>
        <w:t>”, il controllo diffuso sugli eletti e sugli amministratori, nonché sulla provenienza e l’uso delle risorse ai gruppi consiliari, disponendo l’obbligo di pubblicazione sul sito web del Consiglio regionale di tutta una serie di correlati dati (cfr., in particolare, artt. 7, 11, 12 e 15). Sull’argomento si richiamano anche le prescrizioni di cui alla legge regionale n. 12/2015 descritte nel successivo paragrafo 6.1.</w:t>
      </w:r>
    </w:p>
    <w:p w:rsidR="009903C3" w:rsidRPr="007D1DFE" w:rsidRDefault="009903C3"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SimSun" w:hAnsi="Times New Roman" w:cs="Times New Roman"/>
          <w:kern w:val="3"/>
          <w:sz w:val="24"/>
          <w:szCs w:val="24"/>
          <w:shd w:val="clear" w:color="auto" w:fill="FFFFFF"/>
          <w:lang w:eastAsia="zh-CN" w:bidi="hi-IN"/>
        </w:rPr>
        <w:t xml:space="preserve">Tornando al Codice della Trasparenza, identificato nel </w:t>
      </w:r>
      <w:proofErr w:type="spellStart"/>
      <w:r w:rsidRPr="007D1DFE">
        <w:rPr>
          <w:rFonts w:ascii="Times New Roman" w:eastAsia="SimSun" w:hAnsi="Times New Roman" w:cs="Times New Roman"/>
          <w:kern w:val="3"/>
          <w:sz w:val="24"/>
          <w:szCs w:val="24"/>
          <w:shd w:val="clear" w:color="auto" w:fill="FFFFFF"/>
          <w:lang w:eastAsia="zh-CN" w:bidi="hi-IN"/>
        </w:rPr>
        <w:t>d.lgs</w:t>
      </w:r>
      <w:proofErr w:type="spellEnd"/>
      <w:r w:rsidRPr="007D1DFE">
        <w:rPr>
          <w:rFonts w:ascii="Times New Roman" w:eastAsia="SimSun" w:hAnsi="Times New Roman" w:cs="Times New Roman"/>
          <w:kern w:val="3"/>
          <w:sz w:val="24"/>
          <w:szCs w:val="24"/>
          <w:shd w:val="clear" w:color="auto" w:fill="FFFFFF"/>
          <w:lang w:eastAsia="zh-CN" w:bidi="hi-IN"/>
        </w:rPr>
        <w:t xml:space="preserve"> 33/2013 e successive modifiche, è </w:t>
      </w:r>
      <w:r w:rsidRPr="007D1DFE">
        <w:rPr>
          <w:rFonts w:ascii="Times New Roman" w:eastAsia="Times New Roman" w:hAnsi="Times New Roman" w:cs="Times New Roman"/>
          <w:kern w:val="3"/>
          <w:sz w:val="24"/>
          <w:szCs w:val="24"/>
          <w:lang w:eastAsia="it-IT" w:bidi="hi-IN"/>
        </w:rPr>
        <w:t>da rimarcare come esso, relativamente ai “</w:t>
      </w:r>
      <w:r w:rsidRPr="007D1DFE">
        <w:rPr>
          <w:rFonts w:ascii="Times New Roman" w:eastAsia="Times New Roman" w:hAnsi="Times New Roman" w:cs="Times New Roman"/>
          <w:i/>
          <w:kern w:val="3"/>
          <w:sz w:val="24"/>
          <w:szCs w:val="24"/>
          <w:lang w:eastAsia="it-IT" w:bidi="hi-IN"/>
        </w:rPr>
        <w:t>dati, informazioni e documenti</w:t>
      </w:r>
      <w:r w:rsidRPr="007D1DFE">
        <w:rPr>
          <w:rFonts w:ascii="Times New Roman" w:eastAsia="Times New Roman" w:hAnsi="Times New Roman" w:cs="Times New Roman"/>
          <w:kern w:val="3"/>
          <w:sz w:val="24"/>
          <w:szCs w:val="24"/>
          <w:lang w:eastAsia="it-IT" w:bidi="hi-IN"/>
        </w:rPr>
        <w:t>” che le pubbliche amministrazioni</w:t>
      </w:r>
      <w:r w:rsidRPr="007D1DFE">
        <w:rPr>
          <w:rFonts w:ascii="Times New Roman" w:eastAsia="Times New Roman" w:hAnsi="Times New Roman" w:cs="Times New Roman"/>
          <w:i/>
          <w:kern w:val="3"/>
          <w:sz w:val="24"/>
          <w:szCs w:val="24"/>
          <w:lang w:eastAsia="it-IT" w:bidi="hi-IN"/>
        </w:rPr>
        <w:t xml:space="preserve"> </w:t>
      </w:r>
      <w:r w:rsidRPr="007D1DFE">
        <w:rPr>
          <w:rFonts w:ascii="Times New Roman" w:eastAsia="Times New Roman" w:hAnsi="Times New Roman" w:cs="Times New Roman"/>
          <w:kern w:val="3"/>
          <w:sz w:val="24"/>
          <w:szCs w:val="24"/>
          <w:lang w:eastAsia="it-IT" w:bidi="hi-IN"/>
        </w:rPr>
        <w:t>“</w:t>
      </w:r>
      <w:r w:rsidRPr="007D1DFE">
        <w:rPr>
          <w:rFonts w:ascii="Times New Roman" w:eastAsia="Times New Roman" w:hAnsi="Times New Roman" w:cs="Times New Roman"/>
          <w:i/>
          <w:kern w:val="3"/>
          <w:sz w:val="24"/>
          <w:szCs w:val="24"/>
          <w:lang w:eastAsia="it-IT" w:bidi="hi-IN"/>
        </w:rPr>
        <w:t>non hanno l'obbligo di pubblicare</w:t>
      </w:r>
      <w:r w:rsidRPr="007D1DFE">
        <w:rPr>
          <w:rFonts w:ascii="Times New Roman" w:eastAsia="Times New Roman" w:hAnsi="Times New Roman" w:cs="Times New Roman"/>
          <w:kern w:val="3"/>
          <w:sz w:val="24"/>
          <w:szCs w:val="24"/>
          <w:lang w:eastAsia="it-IT" w:bidi="hi-IN"/>
        </w:rPr>
        <w:t>“ e di cui dispongono autonomamente la pubblicazione sul proprio sito web istituzionale, offra un criterio di discrezionalità molto ampio.</w:t>
      </w:r>
    </w:p>
    <w:p w:rsidR="009903C3" w:rsidRPr="007D1DFE" w:rsidRDefault="009903C3"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Peraltro, come sottolinea </w:t>
      </w:r>
      <w:r w:rsidR="00AD353B" w:rsidRPr="007D1DFE">
        <w:rPr>
          <w:rFonts w:ascii="Times New Roman" w:eastAsia="Times New Roman" w:hAnsi="Times New Roman" w:cs="Times New Roman"/>
          <w:kern w:val="3"/>
          <w:sz w:val="24"/>
          <w:szCs w:val="24"/>
          <w:lang w:eastAsia="it-IT" w:bidi="hi-IN"/>
        </w:rPr>
        <w:t>l’</w:t>
      </w:r>
      <w:r w:rsidRPr="007D1DFE">
        <w:rPr>
          <w:rFonts w:ascii="Times New Roman" w:eastAsia="Times New Roman" w:hAnsi="Times New Roman" w:cs="Times New Roman"/>
          <w:kern w:val="3"/>
          <w:sz w:val="24"/>
          <w:szCs w:val="24"/>
          <w:lang w:eastAsia="it-IT" w:bidi="hi-IN"/>
        </w:rPr>
        <w:t>aggiornamento del P.N.A. dell’agosto 2016, “</w:t>
      </w:r>
      <w:r w:rsidRPr="007D1DFE">
        <w:rPr>
          <w:rFonts w:ascii="Times New Roman" w:eastAsia="Times New Roman" w:hAnsi="Times New Roman" w:cs="Times New Roman"/>
          <w:i/>
          <w:kern w:val="3"/>
          <w:sz w:val="24"/>
          <w:szCs w:val="24"/>
          <w:lang w:eastAsia="it-IT" w:bidi="hi-IN"/>
        </w:rPr>
        <w:t xml:space="preserve">la promozione di maggiori livelli di trasparenza costituisce obiettivo strategico di ogni amministrazione, che deve tradursi in obiettivi organizzativi ed individuali….la mancanza di tali obiettivi può configurare un elemento che rileva ai fini dell’irrogazione delle sanzioni di cui all’art. 19, c. 5, </w:t>
      </w:r>
      <w:proofErr w:type="spellStart"/>
      <w:r w:rsidRPr="007D1DFE">
        <w:rPr>
          <w:rFonts w:ascii="Times New Roman" w:eastAsia="Times New Roman" w:hAnsi="Times New Roman" w:cs="Times New Roman"/>
          <w:i/>
          <w:kern w:val="3"/>
          <w:sz w:val="24"/>
          <w:szCs w:val="24"/>
          <w:lang w:eastAsia="it-IT" w:bidi="hi-IN"/>
        </w:rPr>
        <w:t>lett</w:t>
      </w:r>
      <w:proofErr w:type="spellEnd"/>
      <w:r w:rsidRPr="007D1DFE">
        <w:rPr>
          <w:rFonts w:ascii="Times New Roman" w:eastAsia="Times New Roman" w:hAnsi="Times New Roman" w:cs="Times New Roman"/>
          <w:i/>
          <w:kern w:val="3"/>
          <w:sz w:val="24"/>
          <w:szCs w:val="24"/>
          <w:lang w:eastAsia="it-IT" w:bidi="hi-IN"/>
        </w:rPr>
        <w:t xml:space="preserve">. b), del </w:t>
      </w:r>
      <w:proofErr w:type="spellStart"/>
      <w:r w:rsidRPr="007D1DFE">
        <w:rPr>
          <w:rFonts w:ascii="Times New Roman" w:eastAsia="Times New Roman" w:hAnsi="Times New Roman" w:cs="Times New Roman"/>
          <w:i/>
          <w:kern w:val="3"/>
          <w:sz w:val="24"/>
          <w:szCs w:val="24"/>
          <w:lang w:eastAsia="it-IT" w:bidi="hi-IN"/>
        </w:rPr>
        <w:t>d.l.</w:t>
      </w:r>
      <w:proofErr w:type="spellEnd"/>
      <w:r w:rsidRPr="007D1DFE">
        <w:rPr>
          <w:rFonts w:ascii="Times New Roman" w:eastAsia="Times New Roman" w:hAnsi="Times New Roman" w:cs="Times New Roman"/>
          <w:i/>
          <w:kern w:val="3"/>
          <w:sz w:val="24"/>
          <w:szCs w:val="24"/>
          <w:lang w:eastAsia="it-IT" w:bidi="hi-IN"/>
        </w:rPr>
        <w:t xml:space="preserve"> 90/2014”</w:t>
      </w:r>
      <w:r w:rsidRPr="007D1DFE">
        <w:rPr>
          <w:rFonts w:ascii="Times New Roman" w:eastAsia="Times New Roman" w:hAnsi="Times New Roman" w:cs="Times New Roman"/>
          <w:kern w:val="3"/>
          <w:sz w:val="24"/>
          <w:szCs w:val="24"/>
          <w:lang w:eastAsia="it-IT" w:bidi="hi-IN"/>
        </w:rPr>
        <w:t xml:space="preserve"> </w:t>
      </w:r>
      <w:r w:rsidRPr="007D1DFE">
        <w:rPr>
          <w:rFonts w:ascii="Times New Roman" w:eastAsia="Times New Roman" w:hAnsi="Times New Roman" w:cs="Times New Roman"/>
          <w:kern w:val="3"/>
          <w:sz w:val="24"/>
          <w:szCs w:val="24"/>
          <w:vertAlign w:val="superscript"/>
          <w:lang w:eastAsia="it-IT" w:bidi="hi-IN"/>
        </w:rPr>
        <w:footnoteReference w:id="57"/>
      </w:r>
      <w:r w:rsidRPr="007D1DFE">
        <w:rPr>
          <w:rFonts w:ascii="Times New Roman" w:eastAsia="Times New Roman" w:hAnsi="Times New Roman" w:cs="Times New Roman"/>
          <w:kern w:val="3"/>
          <w:sz w:val="24"/>
          <w:szCs w:val="24"/>
          <w:lang w:eastAsia="it-IT" w:bidi="hi-IN"/>
        </w:rPr>
        <w:t xml:space="preserve">. </w:t>
      </w:r>
    </w:p>
    <w:p w:rsidR="009903C3" w:rsidRPr="007D1DFE" w:rsidRDefault="009903C3" w:rsidP="007D1DFE">
      <w:pPr>
        <w:widowControl w:val="0"/>
        <w:suppressAutoHyphens/>
        <w:autoSpaceDN w:val="0"/>
        <w:spacing w:line="240" w:lineRule="auto"/>
        <w:ind w:firstLine="708"/>
        <w:jc w:val="both"/>
        <w:textAlignment w:val="baseline"/>
        <w:rPr>
          <w:rFonts w:ascii="Times New Roman" w:eastAsia="Times New Roman" w:hAnsi="Times New Roman" w:cs="Times New Roman"/>
          <w:b/>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In conformità a tale previsione, nel successivo paragrafo </w:t>
      </w:r>
      <w:r w:rsidR="00372A2C" w:rsidRPr="007D1DFE">
        <w:rPr>
          <w:rFonts w:ascii="Times New Roman" w:eastAsia="Times New Roman" w:hAnsi="Times New Roman" w:cs="Times New Roman"/>
          <w:kern w:val="3"/>
          <w:sz w:val="24"/>
          <w:szCs w:val="24"/>
          <w:lang w:eastAsia="it-IT" w:bidi="hi-IN"/>
        </w:rPr>
        <w:t>9 s</w:t>
      </w:r>
      <w:r w:rsidRPr="007D1DFE">
        <w:rPr>
          <w:rFonts w:ascii="Times New Roman" w:eastAsia="Times New Roman" w:hAnsi="Times New Roman" w:cs="Times New Roman"/>
          <w:kern w:val="3"/>
          <w:sz w:val="24"/>
          <w:szCs w:val="24"/>
          <w:lang w:eastAsia="it-IT" w:bidi="hi-IN"/>
        </w:rPr>
        <w:t>ono individuati i “</w:t>
      </w:r>
      <w:r w:rsidRPr="007D1DFE">
        <w:rPr>
          <w:rFonts w:ascii="Times New Roman" w:eastAsia="Times New Roman" w:hAnsi="Times New Roman" w:cs="Times New Roman"/>
          <w:i/>
          <w:kern w:val="3"/>
          <w:sz w:val="24"/>
          <w:szCs w:val="24"/>
          <w:lang w:eastAsia="it-IT" w:bidi="hi-IN"/>
        </w:rPr>
        <w:t>dati ulteriori</w:t>
      </w:r>
      <w:r w:rsidRPr="007D1DFE">
        <w:rPr>
          <w:rFonts w:ascii="Times New Roman" w:eastAsia="Times New Roman" w:hAnsi="Times New Roman" w:cs="Times New Roman"/>
          <w:kern w:val="3"/>
          <w:sz w:val="24"/>
          <w:szCs w:val="24"/>
          <w:lang w:eastAsia="it-IT" w:bidi="hi-IN"/>
        </w:rPr>
        <w:t xml:space="preserve">” che </w:t>
      </w:r>
      <w:r w:rsidR="00372A2C" w:rsidRPr="007D1DFE">
        <w:rPr>
          <w:rFonts w:ascii="Times New Roman" w:eastAsia="Times New Roman" w:hAnsi="Times New Roman" w:cs="Times New Roman"/>
          <w:kern w:val="3"/>
          <w:sz w:val="24"/>
          <w:szCs w:val="24"/>
          <w:lang w:eastAsia="it-IT" w:bidi="hi-IN"/>
        </w:rPr>
        <w:t>l’</w:t>
      </w:r>
      <w:r w:rsidRPr="007D1DFE">
        <w:rPr>
          <w:rFonts w:ascii="Times New Roman" w:eastAsia="Times New Roman" w:hAnsi="Times New Roman" w:cs="Times New Roman"/>
          <w:kern w:val="3"/>
          <w:sz w:val="24"/>
          <w:szCs w:val="24"/>
          <w:lang w:eastAsia="it-IT" w:bidi="hi-IN"/>
        </w:rPr>
        <w:t>Amministrazione ha ritenuto di pubblicare sul proprio sito, al fine di assicurare ancora maggiori livelli di trasparenza</w:t>
      </w:r>
      <w:r w:rsidR="00372A2C" w:rsidRPr="007D1DFE">
        <w:rPr>
          <w:rFonts w:ascii="Times New Roman" w:eastAsia="Times New Roman" w:hAnsi="Times New Roman" w:cs="Times New Roman"/>
          <w:kern w:val="3"/>
          <w:sz w:val="24"/>
          <w:szCs w:val="24"/>
          <w:lang w:eastAsia="it-IT" w:bidi="hi-IN"/>
        </w:rPr>
        <w:t>.</w:t>
      </w:r>
    </w:p>
    <w:p w:rsidR="009903C3" w:rsidRPr="007D1DFE" w:rsidRDefault="009903C3"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Nel d.lgs. 33/2013, inoltre, è riaffermata e sottolineata la necessità che vi sia un collegamento fra la programmazione strategica ed operativa dell’Amministrazione, contenuta nel Piano della performance o negli analoghi strumenti di programmazione, e gli obiettivi di trasparenza indicati nel Programma. In altri termini, occorre vi sia un coordinamento ed una integrazione fra gli ambiti relativi alla performance e alla trasparenza, affinché le misure contenute nel PTPC. diventino obiettivi organizzativi e individuali da inserire nel Piano della prestazione e dei risultati dell’Amministrazione (performance).</w:t>
      </w:r>
    </w:p>
    <w:p w:rsidR="0007159B" w:rsidRPr="007D1DFE" w:rsidRDefault="00CE3BF4"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Come già ricordato nella Sezione I</w:t>
      </w:r>
      <w:r w:rsidR="00940A6B" w:rsidRPr="007D1DFE">
        <w:rPr>
          <w:rFonts w:ascii="Times New Roman" w:eastAsia="Times New Roman" w:hAnsi="Times New Roman" w:cs="Times New Roman"/>
          <w:kern w:val="3"/>
          <w:sz w:val="24"/>
          <w:szCs w:val="24"/>
          <w:lang w:eastAsia="it-IT" w:bidi="hi-IN"/>
        </w:rPr>
        <w:t>,</w:t>
      </w:r>
      <w:r w:rsidRPr="007D1DFE">
        <w:rPr>
          <w:rFonts w:ascii="Times New Roman" w:eastAsia="Times New Roman" w:hAnsi="Times New Roman" w:cs="Times New Roman"/>
          <w:kern w:val="3"/>
          <w:sz w:val="24"/>
          <w:szCs w:val="24"/>
          <w:lang w:eastAsia="it-IT" w:bidi="hi-IN"/>
        </w:rPr>
        <w:t xml:space="preserve"> il 2018 ha visto </w:t>
      </w:r>
      <w:r w:rsidR="00940A6B" w:rsidRPr="007D1DFE">
        <w:rPr>
          <w:rFonts w:ascii="Times New Roman" w:eastAsia="Times New Roman" w:hAnsi="Times New Roman" w:cs="Times New Roman"/>
          <w:kern w:val="3"/>
          <w:sz w:val="24"/>
          <w:szCs w:val="24"/>
          <w:lang w:eastAsia="it-IT" w:bidi="hi-IN"/>
        </w:rPr>
        <w:t>l’inizio dell’applicazione (25 maggio)</w:t>
      </w:r>
      <w:r w:rsidRPr="007D1DFE">
        <w:rPr>
          <w:rFonts w:ascii="Times New Roman" w:eastAsia="Times New Roman" w:hAnsi="Times New Roman" w:cs="Times New Roman"/>
          <w:kern w:val="3"/>
          <w:sz w:val="24"/>
          <w:szCs w:val="24"/>
          <w:lang w:eastAsia="it-IT" w:bidi="hi-IN"/>
        </w:rPr>
        <w:t xml:space="preserve"> in tutti </w:t>
      </w:r>
      <w:r w:rsidR="00940A6B" w:rsidRPr="007D1DFE">
        <w:rPr>
          <w:rFonts w:ascii="Times New Roman" w:eastAsia="Times New Roman" w:hAnsi="Times New Roman" w:cs="Times New Roman"/>
          <w:kern w:val="3"/>
          <w:sz w:val="24"/>
          <w:szCs w:val="24"/>
          <w:lang w:eastAsia="it-IT" w:bidi="hi-IN"/>
        </w:rPr>
        <w:t xml:space="preserve">gli Stati membri </w:t>
      </w:r>
      <w:r w:rsidRPr="007D1DFE">
        <w:rPr>
          <w:rFonts w:ascii="Times New Roman" w:eastAsia="Times New Roman" w:hAnsi="Times New Roman" w:cs="Times New Roman"/>
          <w:kern w:val="3"/>
          <w:sz w:val="24"/>
          <w:szCs w:val="24"/>
          <w:lang w:eastAsia="it-IT" w:bidi="hi-IN"/>
        </w:rPr>
        <w:t>dell’Unione Europea della nuova disciplina per la protezione dei dati personali, Regolamento (UE) 2016/679 (RGPD)</w:t>
      </w:r>
      <w:r w:rsidR="0007159B" w:rsidRPr="007D1DFE">
        <w:rPr>
          <w:rFonts w:ascii="Times New Roman" w:eastAsia="Times New Roman" w:hAnsi="Times New Roman" w:cs="Times New Roman"/>
          <w:kern w:val="3"/>
          <w:sz w:val="24"/>
          <w:szCs w:val="24"/>
          <w:lang w:eastAsia="it-IT" w:bidi="hi-IN"/>
        </w:rPr>
        <w:t>.</w:t>
      </w:r>
    </w:p>
    <w:p w:rsidR="002822B0" w:rsidRPr="007D1DFE" w:rsidRDefault="0007159B"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Soffermandoci brevemente sul RGPD, risulta utile evidenziare come lo stesso abbia </w:t>
      </w:r>
      <w:r w:rsidRPr="007D1DFE">
        <w:rPr>
          <w:rFonts w:ascii="Times New Roman" w:eastAsia="Times New Roman" w:hAnsi="Times New Roman" w:cs="Times New Roman"/>
          <w:kern w:val="3"/>
          <w:sz w:val="24"/>
          <w:szCs w:val="24"/>
          <w:lang w:eastAsia="it-IT" w:bidi="hi-IN"/>
        </w:rPr>
        <w:lastRenderedPageBreak/>
        <w:t xml:space="preserve">affermato alcuni importanti e per certi aspetti innovativi principi, di seguito elencati, che hanno una loro rilevanza anche rispetto al tema del bilanciamento tra il “principio di necessità” nel trattamento dei dati personali (c.d. “principio di pertinenza e non eccedenza”) e il “principio di trasparenza e di pubblicità” dell'attività amministrativa e, più specificatamente, la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ai sensi dell’articolo </w:t>
      </w:r>
      <w:r w:rsidR="002822B0" w:rsidRPr="007D1DFE">
        <w:rPr>
          <w:rFonts w:ascii="Times New Roman" w:eastAsia="Times New Roman" w:hAnsi="Times New Roman" w:cs="Times New Roman"/>
          <w:kern w:val="3"/>
          <w:sz w:val="24"/>
          <w:szCs w:val="24"/>
          <w:lang w:eastAsia="it-IT" w:bidi="hi-IN"/>
        </w:rPr>
        <w:t>1, comma 1 del  d.lgs. 33/2013:</w:t>
      </w:r>
    </w:p>
    <w:p w:rsidR="002822B0" w:rsidRPr="007D1DFE" w:rsidRDefault="0007159B" w:rsidP="007D1DFE">
      <w:pPr>
        <w:pStyle w:val="Paragrafoelenco"/>
        <w:widowControl w:val="0"/>
        <w:numPr>
          <w:ilvl w:val="0"/>
          <w:numId w:val="28"/>
        </w:numPr>
        <w:suppressAutoHyphens/>
        <w:autoSpaceDN w:val="0"/>
        <w:spacing w:line="240" w:lineRule="auto"/>
        <w:ind w:left="426" w:hanging="142"/>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“principio di responsabilizzazione (</w:t>
      </w:r>
      <w:proofErr w:type="spellStart"/>
      <w:r w:rsidRPr="007D1DFE">
        <w:rPr>
          <w:rFonts w:ascii="Times New Roman" w:eastAsia="Times New Roman" w:hAnsi="Times New Roman" w:cs="Times New Roman"/>
          <w:kern w:val="3"/>
          <w:sz w:val="24"/>
          <w:szCs w:val="24"/>
          <w:lang w:eastAsia="it-IT" w:bidi="hi-IN"/>
        </w:rPr>
        <w:t>accountability</w:t>
      </w:r>
      <w:proofErr w:type="spellEnd"/>
      <w:r w:rsidRPr="007D1DFE">
        <w:rPr>
          <w:rFonts w:ascii="Times New Roman" w:eastAsia="Times New Roman" w:hAnsi="Times New Roman" w:cs="Times New Roman"/>
          <w:kern w:val="3"/>
          <w:sz w:val="24"/>
          <w:szCs w:val="24"/>
          <w:lang w:eastAsia="it-IT" w:bidi="hi-IN"/>
        </w:rPr>
        <w:t>)”, in base al quale il titolare del trattamento di dati personali ha il compito di mettere in atto “misure tecniche e organizzative adeguate per garantire, ed essere in grado di dimostrare, che il trattamento è effettuato conformemente ….” allo stesso RGPD, tenuto conto “della natura, dell’ambito di applicazione, del contesto e delle finalità del trattamento, nonché dei rischi aventi probabilità e gravità diverse per i diritti e le libertà delle persone fisiche” (art. 24, par. 1);</w:t>
      </w:r>
    </w:p>
    <w:p w:rsidR="002822B0" w:rsidRPr="007D1DFE" w:rsidRDefault="0007159B" w:rsidP="007D1DFE">
      <w:pPr>
        <w:pStyle w:val="Paragrafoelenco"/>
        <w:widowControl w:val="0"/>
        <w:numPr>
          <w:ilvl w:val="0"/>
          <w:numId w:val="28"/>
        </w:numPr>
        <w:suppressAutoHyphens/>
        <w:autoSpaceDN w:val="0"/>
        <w:spacing w:line="240" w:lineRule="auto"/>
        <w:ind w:left="426" w:hanging="142"/>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“principio privacy by design”: secondo il quale la protezione dei dati personali deve essere assicurata fin dalla fase di ideazione e progettazione di un trattamento. Da tale principio consegue che, sia al momento di determinare i mezzi del trattamento che in quello di effettuazione dello stesso, il titolare è tenuto a mettere “in atto misure tecniche e organizzative adeguate, quali la </w:t>
      </w:r>
      <w:proofErr w:type="spellStart"/>
      <w:r w:rsidRPr="007D1DFE">
        <w:rPr>
          <w:rFonts w:ascii="Times New Roman" w:eastAsia="Times New Roman" w:hAnsi="Times New Roman" w:cs="Times New Roman"/>
          <w:kern w:val="3"/>
          <w:sz w:val="24"/>
          <w:szCs w:val="24"/>
          <w:lang w:eastAsia="it-IT" w:bidi="hi-IN"/>
        </w:rPr>
        <w:t>pseudonimizzazione</w:t>
      </w:r>
      <w:proofErr w:type="spellEnd"/>
      <w:r w:rsidRPr="007D1DFE">
        <w:rPr>
          <w:rFonts w:ascii="Times New Roman" w:eastAsia="Times New Roman" w:hAnsi="Times New Roman" w:cs="Times New Roman"/>
          <w:kern w:val="3"/>
          <w:sz w:val="24"/>
          <w:szCs w:val="24"/>
          <w:lang w:eastAsia="it-IT" w:bidi="hi-IN"/>
        </w:rPr>
        <w:t>, volte ad attuare in modo efficace i principi di protezione dei dati, quali la minimizzazione, e a integrare nel trattamento le necessarie garanzie al fine di soddisfare i requisiti del [RPGD] e tutelare i diritti degli interessati.” (art. 25, par. 1);</w:t>
      </w:r>
    </w:p>
    <w:p w:rsidR="002822B0" w:rsidRPr="007D1DFE" w:rsidRDefault="0007159B" w:rsidP="007D1DFE">
      <w:pPr>
        <w:pStyle w:val="Paragrafoelenco"/>
        <w:widowControl w:val="0"/>
        <w:numPr>
          <w:ilvl w:val="0"/>
          <w:numId w:val="28"/>
        </w:numPr>
        <w:suppressAutoHyphens/>
        <w:autoSpaceDN w:val="0"/>
        <w:spacing w:line="240" w:lineRule="auto"/>
        <w:ind w:left="426" w:hanging="142"/>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“principio privacy by default”: a termini del quale devono essere trattati, per impostazione predefinita (by default), solo i dati personali necessari per ogni specifica finalità del trattamento (art. 25, par. 2). Tale obbligo vale per la quantità dei dati personali raccolti, la portata del trattamento, il periodo di conservazione e l’accessibilità;</w:t>
      </w:r>
    </w:p>
    <w:p w:rsidR="002822B0" w:rsidRPr="007D1DFE" w:rsidRDefault="0007159B" w:rsidP="007D1DFE">
      <w:pPr>
        <w:pStyle w:val="Paragrafoelenco"/>
        <w:widowControl w:val="0"/>
        <w:numPr>
          <w:ilvl w:val="0"/>
          <w:numId w:val="28"/>
        </w:numPr>
        <w:suppressAutoHyphens/>
        <w:autoSpaceDN w:val="0"/>
        <w:spacing w:line="240" w:lineRule="auto"/>
        <w:ind w:left="426" w:hanging="142"/>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“principio di valutazione di impatto”: in applicazione del quale, prima di procedere a un trattamento dei dati personali che presenti rischi elevati per i diritti e le libertà delle persone fisiche, il titolare del trattamento effettua una valutazione dell'impatto sulla protezione degli stessi dati (art. 35). L’individuazione del rischio connesso al trattamento, la sua valutazione in termini di origine, natura, probabilità e gravità risulta infatti strettamente funzionale alla definizione delle migliori prassi per attenuare il rischio stesso. Tale valutazione si impone, ad esempio, quando si procede al trattamento, su larga scala, delle categorie particolari di dati personali di cui all’articolo 9, paragrafo 1 (ex dati sensibili) ovvero di dati relativi a condanne penali e a reati di cui all’articolo 10 (ex dati giudiziari) del RGPD;</w:t>
      </w:r>
    </w:p>
    <w:p w:rsidR="0007159B" w:rsidRPr="007D1DFE" w:rsidRDefault="0007159B" w:rsidP="007D1DFE">
      <w:pPr>
        <w:pStyle w:val="Paragrafoelenco"/>
        <w:widowControl w:val="0"/>
        <w:numPr>
          <w:ilvl w:val="0"/>
          <w:numId w:val="28"/>
        </w:numPr>
        <w:suppressAutoHyphens/>
        <w:autoSpaceDN w:val="0"/>
        <w:spacing w:line="240" w:lineRule="auto"/>
        <w:ind w:left="426" w:hanging="142"/>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“principio di certificazione”: in ragione del quale deve essere incoraggiata l'istituzione di meccanismi di certificazione della protezione dei dati personali nonché di sigilli e marchi di protezione degli stessi, allo scopo di dimostrare la conformità con il RGPD dei trattamenti effettuati (art. 42). La certificazione in parola - che è volontaria e accessibile tramite una procedura trasparente, non riduce la responsabilità del titolare del trattamento dei dati personali riguardo alla conformità con il RGPD e lascia impregiudicati i compiti e i poteri delle autorità di controllo competenti a norma degli articoli 55 o 56 dello stesso - può essere rilasciata, dai soggetti di cui agli articoli 43, 51 e 68 del RGPD, per un periodo massimo di tre anni ed è rinnovabile alle stesse condizioni purché continuino a essere soddisfatti i requisiti pertinenti (art. 63).</w:t>
      </w:r>
    </w:p>
    <w:p w:rsidR="002822B0" w:rsidRPr="007D1DFE" w:rsidRDefault="0007159B"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A conclusione di questo spedito e sommario esame dei principi dettati dal RGPD, si osserva come lo stesso abbia introdotto alcuni adempimenti a essi connessi - obbligatori per tutte le pubbliche amministrazioni - e, tra questi, figurano l’istituzione e la tenuta del “Registro delle attività di trattamento dei dati personali” e del “Registro delle violazioni dei dati personali” (c.d. registro dei </w:t>
      </w:r>
      <w:proofErr w:type="spellStart"/>
      <w:r w:rsidRPr="007D1DFE">
        <w:rPr>
          <w:rFonts w:ascii="Times New Roman" w:eastAsia="Times New Roman" w:hAnsi="Times New Roman" w:cs="Times New Roman"/>
          <w:kern w:val="3"/>
          <w:sz w:val="24"/>
          <w:szCs w:val="24"/>
          <w:lang w:eastAsia="it-IT" w:bidi="hi-IN"/>
        </w:rPr>
        <w:t>databreach</w:t>
      </w:r>
      <w:proofErr w:type="spellEnd"/>
      <w:r w:rsidRPr="007D1DFE">
        <w:rPr>
          <w:rFonts w:ascii="Times New Roman" w:eastAsia="Times New Roman" w:hAnsi="Times New Roman" w:cs="Times New Roman"/>
          <w:kern w:val="3"/>
          <w:sz w:val="24"/>
          <w:szCs w:val="24"/>
          <w:lang w:eastAsia="it-IT" w:bidi="hi-IN"/>
        </w:rPr>
        <w:t xml:space="preserve">) nonché l’individuazione della figura del Responsabile della Protezione dei dati (RPD </w:t>
      </w:r>
      <w:r w:rsidRPr="007D1DFE">
        <w:rPr>
          <w:rFonts w:ascii="Times New Roman" w:eastAsia="Times New Roman" w:hAnsi="Times New Roman" w:cs="Times New Roman"/>
          <w:kern w:val="3"/>
          <w:sz w:val="24"/>
          <w:szCs w:val="24"/>
          <w:lang w:eastAsia="it-IT" w:bidi="hi-IN"/>
        </w:rPr>
        <w:lastRenderedPageBreak/>
        <w:t>o DPO).</w:t>
      </w:r>
    </w:p>
    <w:p w:rsidR="002822B0" w:rsidRPr="007D1DFE" w:rsidRDefault="002822B0"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Il Consiglio regionale, in questa prima fase di applicazione del Regolamento, allo scopo di adeguarsi alle previsioni in esso contenute, si è dotato di un nuovo assetto organizzativo privacy e di correlati strumenti attuativi attraverso gli atti in appresso elencati:</w:t>
      </w:r>
    </w:p>
    <w:p w:rsidR="002822B0" w:rsidRPr="007D1DFE" w:rsidRDefault="002822B0" w:rsidP="007D1DFE">
      <w:pPr>
        <w:pStyle w:val="Paragrafoelenco"/>
        <w:widowControl w:val="0"/>
        <w:numPr>
          <w:ilvl w:val="0"/>
          <w:numId w:val="29"/>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deliberazione dell’Ufficio di presidenza 9 maggio 2018, n. 40, con la quale, in particolare, è stato formulato l’indirizzo al Segretario generale di procedere alla nomina del RPD e all’istituzione del “Registro delle attività di trattamento dei dati personali” e del “Registro delle violazioni dei dati personali”;</w:t>
      </w:r>
    </w:p>
    <w:p w:rsidR="002822B0" w:rsidRPr="007D1DFE" w:rsidRDefault="002822B0" w:rsidP="007D1DFE">
      <w:pPr>
        <w:pStyle w:val="Paragrafoelenco"/>
        <w:widowControl w:val="0"/>
        <w:numPr>
          <w:ilvl w:val="0"/>
          <w:numId w:val="29"/>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determinazione del Segretario generale 21 maggio 2018, n. 344 (Adempimenti ex regolamento (UE) 2016/679. Deliberazione dell’Ufficio di presidenza 9 maggio 2018, n. 40. Nomina del responsabile della protezione dei dati personali (RPD).), con la quale, in particolare, si è provveduto a nominare il RPD e ad attribuire allo stesso le relative funzioni;</w:t>
      </w:r>
    </w:p>
    <w:p w:rsidR="002822B0" w:rsidRPr="007D1DFE" w:rsidRDefault="002822B0" w:rsidP="007D1DFE">
      <w:pPr>
        <w:pStyle w:val="Paragrafoelenco"/>
        <w:widowControl w:val="0"/>
        <w:numPr>
          <w:ilvl w:val="0"/>
          <w:numId w:val="29"/>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determinazione del Segretario generale 24 maggio 2018, n. 349, con la quale sono stati istituiti i predetti registri;</w:t>
      </w:r>
    </w:p>
    <w:p w:rsidR="00EA56ED" w:rsidRPr="007D1DFE" w:rsidRDefault="002822B0" w:rsidP="007D1DFE">
      <w:pPr>
        <w:pStyle w:val="Paragrafoelenco"/>
        <w:widowControl w:val="0"/>
        <w:numPr>
          <w:ilvl w:val="0"/>
          <w:numId w:val="29"/>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deliberazione dell’Ufficio di presidenza 12 giugno 2018, n. 60, con la quale, in conformità con il RGPD, è stato definito l’organigramma privacy del Consiglio regionale attraverso appositi modifiche al regolamento di organizzazione dello stesso e approvate le Linee guida per il trattamento dei dati personali.</w:t>
      </w:r>
      <w:r w:rsidR="0007159B" w:rsidRPr="007D1DFE">
        <w:rPr>
          <w:rFonts w:ascii="Times New Roman" w:eastAsia="Times New Roman" w:hAnsi="Times New Roman" w:cs="Times New Roman"/>
          <w:kern w:val="3"/>
          <w:sz w:val="24"/>
          <w:szCs w:val="24"/>
          <w:lang w:eastAsia="it-IT" w:bidi="hi-IN"/>
        </w:rPr>
        <w:t xml:space="preserve"> </w:t>
      </w:r>
    </w:p>
    <w:p w:rsidR="003F3263" w:rsidRPr="007D1DFE" w:rsidRDefault="003F3263"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Come </w:t>
      </w:r>
      <w:r w:rsidR="00861643" w:rsidRPr="007D1DFE">
        <w:rPr>
          <w:rFonts w:ascii="Times New Roman" w:eastAsia="Times New Roman" w:hAnsi="Times New Roman" w:cs="Times New Roman"/>
          <w:kern w:val="3"/>
          <w:sz w:val="24"/>
          <w:szCs w:val="24"/>
          <w:lang w:eastAsia="it-IT" w:bidi="hi-IN"/>
        </w:rPr>
        <w:t>anticipato</w:t>
      </w:r>
      <w:r w:rsidRPr="007D1DFE">
        <w:rPr>
          <w:rFonts w:ascii="Times New Roman" w:eastAsia="Times New Roman" w:hAnsi="Times New Roman" w:cs="Times New Roman"/>
          <w:kern w:val="3"/>
          <w:sz w:val="24"/>
          <w:szCs w:val="24"/>
          <w:lang w:eastAsia="it-IT" w:bidi="hi-IN"/>
        </w:rPr>
        <w:t>, il 19 settembre 2018 è entrato in vigore il d</w:t>
      </w:r>
      <w:r w:rsidR="00FF3A92" w:rsidRPr="007D1DFE">
        <w:rPr>
          <w:rFonts w:ascii="Times New Roman" w:eastAsia="Times New Roman" w:hAnsi="Times New Roman" w:cs="Times New Roman"/>
          <w:kern w:val="3"/>
          <w:sz w:val="24"/>
          <w:szCs w:val="24"/>
          <w:lang w:eastAsia="it-IT" w:bidi="hi-IN"/>
        </w:rPr>
        <w:t xml:space="preserve">.lgs. </w:t>
      </w:r>
      <w:r w:rsidR="00315D7A" w:rsidRPr="007D1DFE">
        <w:rPr>
          <w:rFonts w:ascii="Times New Roman" w:eastAsia="Times New Roman" w:hAnsi="Times New Roman" w:cs="Times New Roman"/>
          <w:kern w:val="3"/>
          <w:sz w:val="24"/>
          <w:szCs w:val="24"/>
          <w:lang w:eastAsia="it-IT" w:bidi="hi-IN"/>
        </w:rPr>
        <w:t>101</w:t>
      </w:r>
      <w:r w:rsidR="00FF3A92" w:rsidRPr="007D1DFE">
        <w:rPr>
          <w:rFonts w:ascii="Times New Roman" w:eastAsia="Times New Roman" w:hAnsi="Times New Roman" w:cs="Times New Roman"/>
          <w:kern w:val="3"/>
          <w:sz w:val="24"/>
          <w:szCs w:val="24"/>
          <w:lang w:eastAsia="it-IT" w:bidi="hi-IN"/>
        </w:rPr>
        <w:t>/2018</w:t>
      </w:r>
      <w:r w:rsidR="00315D7A" w:rsidRPr="007D1DFE">
        <w:rPr>
          <w:rFonts w:ascii="Times New Roman" w:eastAsia="Times New Roman" w:hAnsi="Times New Roman" w:cs="Times New Roman"/>
          <w:kern w:val="3"/>
          <w:sz w:val="24"/>
          <w:szCs w:val="24"/>
          <w:lang w:eastAsia="it-IT" w:bidi="hi-IN"/>
        </w:rPr>
        <w:t xml:space="preserve"> di adeguamento del</w:t>
      </w:r>
      <w:r w:rsidR="00AD7A57" w:rsidRPr="007D1DFE">
        <w:rPr>
          <w:rFonts w:ascii="Times New Roman" w:eastAsia="Times New Roman" w:hAnsi="Times New Roman" w:cs="Times New Roman"/>
          <w:kern w:val="3"/>
          <w:sz w:val="24"/>
          <w:szCs w:val="24"/>
          <w:lang w:eastAsia="it-IT" w:bidi="hi-IN"/>
        </w:rPr>
        <w:t xml:space="preserve"> d</w:t>
      </w:r>
      <w:r w:rsidR="00FF3A92" w:rsidRPr="007D1DFE">
        <w:rPr>
          <w:rFonts w:ascii="Times New Roman" w:eastAsia="Times New Roman" w:hAnsi="Times New Roman" w:cs="Times New Roman"/>
          <w:kern w:val="3"/>
          <w:sz w:val="24"/>
          <w:szCs w:val="24"/>
          <w:lang w:eastAsia="it-IT" w:bidi="hi-IN"/>
        </w:rPr>
        <w:t>.lgs. 196/2003</w:t>
      </w:r>
      <w:r w:rsidR="00315D7A" w:rsidRPr="007D1DFE">
        <w:rPr>
          <w:rFonts w:ascii="Times New Roman" w:eastAsia="Times New Roman" w:hAnsi="Times New Roman" w:cs="Times New Roman"/>
          <w:kern w:val="3"/>
          <w:sz w:val="24"/>
          <w:szCs w:val="24"/>
          <w:lang w:eastAsia="it-IT" w:bidi="hi-IN"/>
        </w:rPr>
        <w:t xml:space="preserve"> </w:t>
      </w:r>
      <w:r w:rsidR="00FF3A92" w:rsidRPr="007D1DFE">
        <w:rPr>
          <w:rFonts w:ascii="Times New Roman" w:eastAsia="Times New Roman" w:hAnsi="Times New Roman" w:cs="Times New Roman"/>
          <w:kern w:val="3"/>
          <w:sz w:val="24"/>
          <w:szCs w:val="24"/>
          <w:lang w:eastAsia="it-IT" w:bidi="hi-IN"/>
        </w:rPr>
        <w:t xml:space="preserve">alle previsioni del RGPD. </w:t>
      </w:r>
      <w:r w:rsidR="00315D7A" w:rsidRPr="007D1DFE">
        <w:rPr>
          <w:rFonts w:ascii="Times New Roman" w:eastAsia="Times New Roman" w:hAnsi="Times New Roman" w:cs="Times New Roman"/>
          <w:kern w:val="3"/>
          <w:sz w:val="24"/>
          <w:szCs w:val="24"/>
          <w:lang w:eastAsia="it-IT" w:bidi="hi-IN"/>
        </w:rPr>
        <w:t xml:space="preserve">Le </w:t>
      </w:r>
      <w:r w:rsidR="00FF3A92" w:rsidRPr="007D1DFE">
        <w:rPr>
          <w:rFonts w:ascii="Times New Roman" w:eastAsia="Times New Roman" w:hAnsi="Times New Roman" w:cs="Times New Roman"/>
          <w:kern w:val="3"/>
          <w:sz w:val="24"/>
          <w:szCs w:val="24"/>
          <w:lang w:eastAsia="it-IT" w:bidi="hi-IN"/>
        </w:rPr>
        <w:t>novelle normative introdotte</w:t>
      </w:r>
      <w:r w:rsidR="0043040D" w:rsidRPr="007D1DFE">
        <w:rPr>
          <w:rFonts w:ascii="Times New Roman" w:eastAsia="Times New Roman" w:hAnsi="Times New Roman" w:cs="Times New Roman"/>
          <w:kern w:val="3"/>
          <w:sz w:val="24"/>
          <w:szCs w:val="24"/>
          <w:lang w:eastAsia="it-IT" w:bidi="hi-IN"/>
        </w:rPr>
        <w:t xml:space="preserve"> dal d.lgs. 101/2018</w:t>
      </w:r>
      <w:r w:rsidR="00315D7A" w:rsidRPr="007D1DFE">
        <w:rPr>
          <w:rFonts w:ascii="Times New Roman" w:eastAsia="Times New Roman" w:hAnsi="Times New Roman" w:cs="Times New Roman"/>
          <w:kern w:val="3"/>
          <w:sz w:val="24"/>
          <w:szCs w:val="24"/>
          <w:lang w:eastAsia="it-IT" w:bidi="hi-IN"/>
        </w:rPr>
        <w:t xml:space="preserve">, </w:t>
      </w:r>
      <w:r w:rsidR="0007159B" w:rsidRPr="007D1DFE">
        <w:rPr>
          <w:rFonts w:ascii="Times New Roman" w:eastAsia="Times New Roman" w:hAnsi="Times New Roman" w:cs="Times New Roman"/>
          <w:kern w:val="3"/>
          <w:sz w:val="24"/>
          <w:szCs w:val="24"/>
          <w:lang w:eastAsia="it-IT" w:bidi="hi-IN"/>
        </w:rPr>
        <w:t>benché</w:t>
      </w:r>
      <w:r w:rsidR="00A72676" w:rsidRPr="007D1DFE">
        <w:rPr>
          <w:rFonts w:ascii="Times New Roman" w:eastAsia="Times New Roman" w:hAnsi="Times New Roman" w:cs="Times New Roman"/>
          <w:kern w:val="3"/>
          <w:sz w:val="24"/>
          <w:szCs w:val="24"/>
          <w:lang w:eastAsia="it-IT" w:bidi="hi-IN"/>
        </w:rPr>
        <w:t xml:space="preserve"> rilevanti, lasciano sostanzialmente inalterato il regime </w:t>
      </w:r>
      <w:r w:rsidR="00315D7A" w:rsidRPr="007D1DFE">
        <w:rPr>
          <w:rFonts w:ascii="Times New Roman" w:eastAsia="Times New Roman" w:hAnsi="Times New Roman" w:cs="Times New Roman"/>
          <w:kern w:val="3"/>
          <w:sz w:val="24"/>
          <w:szCs w:val="24"/>
          <w:lang w:eastAsia="it-IT" w:bidi="hi-IN"/>
        </w:rPr>
        <w:t>dei limiti alla trasparenza come risultante dal d.lgs. 33/2013, che verrà esaminata nel successivo paragrafo</w:t>
      </w:r>
      <w:r w:rsidR="00FF3A92" w:rsidRPr="007D1DFE">
        <w:rPr>
          <w:rFonts w:ascii="Times New Roman" w:eastAsia="Times New Roman" w:hAnsi="Times New Roman" w:cs="Times New Roman"/>
          <w:kern w:val="3"/>
          <w:sz w:val="24"/>
          <w:szCs w:val="24"/>
          <w:lang w:eastAsia="it-IT" w:bidi="hi-IN"/>
        </w:rPr>
        <w:t>.</w:t>
      </w:r>
      <w:r w:rsidR="00315D7A" w:rsidRPr="007D1DFE">
        <w:rPr>
          <w:rFonts w:ascii="Times New Roman" w:eastAsia="Times New Roman" w:hAnsi="Times New Roman" w:cs="Times New Roman"/>
          <w:kern w:val="3"/>
          <w:sz w:val="24"/>
          <w:szCs w:val="24"/>
          <w:lang w:eastAsia="it-IT" w:bidi="hi-IN"/>
        </w:rPr>
        <w:t xml:space="preserve"> </w:t>
      </w:r>
    </w:p>
    <w:p w:rsidR="00FF3A92" w:rsidRPr="007D1DFE" w:rsidRDefault="00E35C23"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Nel rinviare al sito del Garante privacy per un approfondimento </w:t>
      </w:r>
      <w:r w:rsidR="00315D7A" w:rsidRPr="007D1DFE">
        <w:rPr>
          <w:rFonts w:ascii="Times New Roman" w:eastAsia="Times New Roman" w:hAnsi="Times New Roman" w:cs="Times New Roman"/>
          <w:kern w:val="3"/>
          <w:sz w:val="24"/>
          <w:szCs w:val="24"/>
          <w:lang w:eastAsia="it-IT" w:bidi="hi-IN"/>
        </w:rPr>
        <w:t xml:space="preserve">della nuova normativa </w:t>
      </w:r>
      <w:r w:rsidR="0043040D" w:rsidRPr="007D1DFE">
        <w:rPr>
          <w:rFonts w:ascii="Times New Roman" w:eastAsia="Times New Roman" w:hAnsi="Times New Roman" w:cs="Times New Roman"/>
          <w:kern w:val="3"/>
          <w:sz w:val="24"/>
          <w:szCs w:val="24"/>
          <w:lang w:eastAsia="it-IT" w:bidi="hi-IN"/>
        </w:rPr>
        <w:t xml:space="preserve">(UE) e statale </w:t>
      </w:r>
      <w:r w:rsidR="00315D7A" w:rsidRPr="007D1DFE">
        <w:rPr>
          <w:rFonts w:ascii="Times New Roman" w:eastAsia="Times New Roman" w:hAnsi="Times New Roman" w:cs="Times New Roman"/>
          <w:kern w:val="3"/>
          <w:sz w:val="24"/>
          <w:szCs w:val="24"/>
          <w:lang w:eastAsia="it-IT" w:bidi="hi-IN"/>
        </w:rPr>
        <w:t>in materia di privacy</w:t>
      </w:r>
      <w:r w:rsidR="00FF3A92" w:rsidRPr="007D1DFE">
        <w:rPr>
          <w:rFonts w:ascii="Times New Roman" w:eastAsia="Times New Roman" w:hAnsi="Times New Roman" w:cs="Times New Roman"/>
          <w:kern w:val="3"/>
          <w:sz w:val="24"/>
          <w:szCs w:val="24"/>
          <w:lang w:eastAsia="it-IT" w:bidi="hi-IN"/>
        </w:rPr>
        <w:t>,</w:t>
      </w:r>
      <w:r w:rsidRPr="007D1DFE">
        <w:rPr>
          <w:rFonts w:ascii="Times New Roman" w:eastAsia="Times New Roman" w:hAnsi="Times New Roman" w:cs="Times New Roman"/>
          <w:kern w:val="3"/>
          <w:sz w:val="24"/>
          <w:szCs w:val="24"/>
          <w:lang w:eastAsia="it-IT" w:bidi="hi-IN"/>
        </w:rPr>
        <w:t xml:space="preserve"> preme qui illustrare brevemente il </w:t>
      </w:r>
      <w:r w:rsidR="00FF3A92" w:rsidRPr="007D1DFE">
        <w:rPr>
          <w:rFonts w:ascii="Times New Roman" w:eastAsia="Times New Roman" w:hAnsi="Times New Roman" w:cs="Times New Roman"/>
          <w:kern w:val="3"/>
          <w:sz w:val="24"/>
          <w:szCs w:val="24"/>
          <w:lang w:eastAsia="it-IT" w:bidi="hi-IN"/>
        </w:rPr>
        <w:t xml:space="preserve">richiamato </w:t>
      </w:r>
      <w:r w:rsidRPr="007D1DFE">
        <w:rPr>
          <w:rFonts w:ascii="Times New Roman" w:eastAsia="Times New Roman" w:hAnsi="Times New Roman" w:cs="Times New Roman"/>
          <w:kern w:val="3"/>
          <w:sz w:val="24"/>
          <w:szCs w:val="24"/>
          <w:lang w:eastAsia="it-IT" w:bidi="hi-IN"/>
        </w:rPr>
        <w:t xml:space="preserve">percorso di adeguamento </w:t>
      </w:r>
      <w:r w:rsidR="00315D7A" w:rsidRPr="007D1DFE">
        <w:rPr>
          <w:rFonts w:ascii="Times New Roman" w:eastAsia="Times New Roman" w:hAnsi="Times New Roman" w:cs="Times New Roman"/>
          <w:kern w:val="3"/>
          <w:sz w:val="24"/>
          <w:szCs w:val="24"/>
          <w:lang w:eastAsia="it-IT" w:bidi="hi-IN"/>
        </w:rPr>
        <w:t xml:space="preserve">organizzativo </w:t>
      </w:r>
      <w:r w:rsidR="00FF3A92" w:rsidRPr="007D1DFE">
        <w:rPr>
          <w:rFonts w:ascii="Times New Roman" w:eastAsia="Times New Roman" w:hAnsi="Times New Roman" w:cs="Times New Roman"/>
          <w:kern w:val="3"/>
          <w:sz w:val="24"/>
          <w:szCs w:val="24"/>
          <w:lang w:eastAsia="it-IT" w:bidi="hi-IN"/>
        </w:rPr>
        <w:t xml:space="preserve">che si è dato nella stessa </w:t>
      </w:r>
      <w:r w:rsidR="004C324B" w:rsidRPr="007D1DFE">
        <w:rPr>
          <w:rFonts w:ascii="Times New Roman" w:eastAsia="Times New Roman" w:hAnsi="Times New Roman" w:cs="Times New Roman"/>
          <w:kern w:val="3"/>
          <w:sz w:val="24"/>
          <w:szCs w:val="24"/>
          <w:lang w:eastAsia="it-IT" w:bidi="hi-IN"/>
        </w:rPr>
        <w:t xml:space="preserve">materia </w:t>
      </w:r>
      <w:r w:rsidR="00FF3A92" w:rsidRPr="007D1DFE">
        <w:rPr>
          <w:rFonts w:ascii="Times New Roman" w:eastAsia="Times New Roman" w:hAnsi="Times New Roman" w:cs="Times New Roman"/>
          <w:kern w:val="3"/>
          <w:sz w:val="24"/>
          <w:szCs w:val="24"/>
          <w:lang w:eastAsia="it-IT" w:bidi="hi-IN"/>
        </w:rPr>
        <w:t>il Consiglio regionale.</w:t>
      </w:r>
    </w:p>
    <w:p w:rsidR="004C324B" w:rsidRPr="007D1DFE" w:rsidRDefault="005F7207"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Con la </w:t>
      </w:r>
      <w:r w:rsidR="004C324B" w:rsidRPr="007D1DFE">
        <w:rPr>
          <w:rFonts w:ascii="Times New Roman" w:eastAsia="Times New Roman" w:hAnsi="Times New Roman" w:cs="Times New Roman"/>
          <w:kern w:val="3"/>
          <w:sz w:val="24"/>
          <w:szCs w:val="24"/>
          <w:lang w:eastAsia="it-IT" w:bidi="hi-IN"/>
        </w:rPr>
        <w:t xml:space="preserve">riportata </w:t>
      </w:r>
      <w:r w:rsidRPr="007D1DFE">
        <w:rPr>
          <w:rFonts w:ascii="Times New Roman" w:eastAsia="Times New Roman" w:hAnsi="Times New Roman" w:cs="Times New Roman"/>
          <w:kern w:val="3"/>
          <w:sz w:val="24"/>
          <w:szCs w:val="24"/>
          <w:lang w:eastAsia="it-IT" w:bidi="hi-IN"/>
        </w:rPr>
        <w:t>delibera</w:t>
      </w:r>
      <w:r w:rsidR="009F096F" w:rsidRPr="007D1DFE">
        <w:rPr>
          <w:rFonts w:ascii="Times New Roman" w:eastAsia="Times New Roman" w:hAnsi="Times New Roman" w:cs="Times New Roman"/>
          <w:kern w:val="3"/>
          <w:sz w:val="24"/>
          <w:szCs w:val="24"/>
          <w:lang w:eastAsia="it-IT" w:bidi="hi-IN"/>
        </w:rPr>
        <w:t>zione dell’Ufficio di presidenza</w:t>
      </w:r>
      <w:r w:rsidRPr="007D1DFE">
        <w:rPr>
          <w:rFonts w:ascii="Times New Roman" w:eastAsia="Times New Roman" w:hAnsi="Times New Roman" w:cs="Times New Roman"/>
          <w:kern w:val="3"/>
          <w:sz w:val="24"/>
          <w:szCs w:val="24"/>
          <w:lang w:eastAsia="it-IT" w:bidi="hi-IN"/>
        </w:rPr>
        <w:t xml:space="preserve"> </w:t>
      </w:r>
      <w:r w:rsidR="004C324B" w:rsidRPr="007D1DFE">
        <w:rPr>
          <w:rFonts w:ascii="Times New Roman" w:eastAsia="Times New Roman" w:hAnsi="Times New Roman" w:cs="Times New Roman"/>
          <w:kern w:val="3"/>
          <w:sz w:val="24"/>
          <w:szCs w:val="24"/>
          <w:lang w:eastAsia="it-IT" w:bidi="hi-IN"/>
        </w:rPr>
        <w:t>n. 60/</w:t>
      </w:r>
      <w:r w:rsidRPr="007D1DFE">
        <w:rPr>
          <w:rFonts w:ascii="Times New Roman" w:eastAsia="Times New Roman" w:hAnsi="Times New Roman" w:cs="Times New Roman"/>
          <w:kern w:val="3"/>
          <w:sz w:val="24"/>
          <w:szCs w:val="24"/>
          <w:lang w:eastAsia="it-IT" w:bidi="hi-IN"/>
        </w:rPr>
        <w:t>2018</w:t>
      </w:r>
      <w:r w:rsidR="004C324B" w:rsidRPr="007D1DFE">
        <w:rPr>
          <w:rFonts w:ascii="Times New Roman" w:eastAsia="Times New Roman" w:hAnsi="Times New Roman" w:cs="Times New Roman"/>
          <w:kern w:val="3"/>
          <w:sz w:val="24"/>
          <w:szCs w:val="24"/>
          <w:lang w:eastAsia="it-IT" w:bidi="hi-IN"/>
        </w:rPr>
        <w:t xml:space="preserve"> si è</w:t>
      </w:r>
      <w:r w:rsidR="0043040D" w:rsidRPr="007D1DFE">
        <w:rPr>
          <w:rFonts w:ascii="Times New Roman" w:eastAsia="Times New Roman" w:hAnsi="Times New Roman" w:cs="Times New Roman"/>
          <w:kern w:val="3"/>
          <w:sz w:val="24"/>
          <w:szCs w:val="24"/>
          <w:lang w:eastAsia="it-IT" w:bidi="hi-IN"/>
        </w:rPr>
        <w:t>,</w:t>
      </w:r>
      <w:r w:rsidR="00C63A7F" w:rsidRPr="007D1DFE">
        <w:rPr>
          <w:rFonts w:ascii="Times New Roman" w:eastAsia="Times New Roman" w:hAnsi="Times New Roman" w:cs="Times New Roman"/>
          <w:kern w:val="3"/>
          <w:sz w:val="24"/>
          <w:szCs w:val="24"/>
          <w:lang w:eastAsia="it-IT" w:bidi="hi-IN"/>
        </w:rPr>
        <w:t xml:space="preserve"> in</w:t>
      </w:r>
      <w:r w:rsidR="004C324B" w:rsidRPr="007D1DFE">
        <w:rPr>
          <w:rFonts w:ascii="Times New Roman" w:eastAsia="Times New Roman" w:hAnsi="Times New Roman" w:cs="Times New Roman"/>
          <w:kern w:val="3"/>
          <w:sz w:val="24"/>
          <w:szCs w:val="24"/>
          <w:lang w:eastAsia="it-IT" w:bidi="hi-IN"/>
        </w:rPr>
        <w:t xml:space="preserve"> particolare</w:t>
      </w:r>
      <w:r w:rsidR="0043040D" w:rsidRPr="007D1DFE">
        <w:rPr>
          <w:rFonts w:ascii="Times New Roman" w:eastAsia="Times New Roman" w:hAnsi="Times New Roman" w:cs="Times New Roman"/>
          <w:kern w:val="3"/>
          <w:sz w:val="24"/>
          <w:szCs w:val="24"/>
          <w:lang w:eastAsia="it-IT" w:bidi="hi-IN"/>
        </w:rPr>
        <w:t>,</w:t>
      </w:r>
      <w:r w:rsidR="004C324B" w:rsidRPr="007D1DFE">
        <w:rPr>
          <w:rFonts w:ascii="Times New Roman" w:eastAsia="Times New Roman" w:hAnsi="Times New Roman" w:cs="Times New Roman"/>
          <w:kern w:val="3"/>
          <w:sz w:val="24"/>
          <w:szCs w:val="24"/>
          <w:lang w:eastAsia="it-IT" w:bidi="hi-IN"/>
        </w:rPr>
        <w:t xml:space="preserve"> stabilito che:</w:t>
      </w:r>
    </w:p>
    <w:p w:rsidR="004C324B" w:rsidRPr="007D1DFE" w:rsidRDefault="00C63A7F" w:rsidP="007D1DFE">
      <w:pPr>
        <w:pStyle w:val="Paragrafoelenco"/>
        <w:widowControl w:val="0"/>
        <w:numPr>
          <w:ilvl w:val="0"/>
          <w:numId w:val="30"/>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“Titolare del trattamento” - ossia il soggetto che determina le finalità e i mezzi del </w:t>
      </w:r>
      <w:r w:rsidRPr="007D1DFE">
        <w:rPr>
          <w:rFonts w:ascii="Times New Roman" w:eastAsia="Times New Roman" w:hAnsi="Times New Roman" w:cs="Times New Roman"/>
          <w:kern w:val="3"/>
          <w:sz w:val="24"/>
          <w:szCs w:val="24"/>
          <w:lang w:eastAsia="it-IT" w:bidi="hi-IN"/>
        </w:rPr>
        <w:tab/>
        <w:t xml:space="preserve">trattamento dei dati personali effettuati dalle diverse strutture organizzative del Consiglio </w:t>
      </w:r>
      <w:r w:rsidRPr="007D1DFE">
        <w:rPr>
          <w:rFonts w:ascii="Times New Roman" w:eastAsia="Times New Roman" w:hAnsi="Times New Roman" w:cs="Times New Roman"/>
          <w:kern w:val="3"/>
          <w:sz w:val="24"/>
          <w:szCs w:val="24"/>
          <w:lang w:eastAsia="it-IT" w:bidi="hi-IN"/>
        </w:rPr>
        <w:tab/>
        <w:t>regionale - è lo stesso Consiglio regionale;</w:t>
      </w:r>
    </w:p>
    <w:p w:rsidR="004C324B" w:rsidRPr="007D1DFE" w:rsidRDefault="00C63A7F" w:rsidP="007D1DFE">
      <w:pPr>
        <w:pStyle w:val="Paragrafoelenco"/>
        <w:widowControl w:val="0"/>
        <w:numPr>
          <w:ilvl w:val="0"/>
          <w:numId w:val="30"/>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“Delegati al trattamento” - ossia coloro che effettuano qualsiasi operazione o </w:t>
      </w:r>
      <w:r w:rsidR="004C324B" w:rsidRPr="007D1DFE">
        <w:rPr>
          <w:rFonts w:ascii="Times New Roman" w:eastAsia="Times New Roman" w:hAnsi="Times New Roman" w:cs="Times New Roman"/>
          <w:kern w:val="3"/>
          <w:sz w:val="24"/>
          <w:szCs w:val="24"/>
          <w:lang w:eastAsia="it-IT" w:bidi="hi-IN"/>
        </w:rPr>
        <w:t xml:space="preserve">insieme di </w:t>
      </w:r>
      <w:r w:rsidR="004C324B" w:rsidRPr="007D1DFE">
        <w:rPr>
          <w:rFonts w:ascii="Times New Roman" w:eastAsia="Times New Roman" w:hAnsi="Times New Roman" w:cs="Times New Roman"/>
          <w:kern w:val="3"/>
          <w:sz w:val="24"/>
          <w:szCs w:val="24"/>
          <w:lang w:eastAsia="it-IT" w:bidi="hi-IN"/>
        </w:rPr>
        <w:tab/>
        <w:t>operazioni, compiute</w:t>
      </w:r>
      <w:r w:rsidRPr="007D1DFE">
        <w:rPr>
          <w:rFonts w:ascii="Times New Roman" w:eastAsia="Times New Roman" w:hAnsi="Times New Roman" w:cs="Times New Roman"/>
          <w:kern w:val="3"/>
          <w:sz w:val="24"/>
          <w:szCs w:val="24"/>
          <w:lang w:eastAsia="it-IT" w:bidi="hi-IN"/>
        </w:rPr>
        <w:t xml:space="preserve"> con o senza l’ausilio di processi di automazione e applicate ai dati </w:t>
      </w:r>
      <w:r w:rsidRPr="007D1DFE">
        <w:rPr>
          <w:rFonts w:ascii="Times New Roman" w:eastAsia="Times New Roman" w:hAnsi="Times New Roman" w:cs="Times New Roman"/>
          <w:kern w:val="3"/>
          <w:sz w:val="24"/>
          <w:szCs w:val="24"/>
          <w:lang w:eastAsia="it-IT" w:bidi="hi-IN"/>
        </w:rPr>
        <w:tab/>
        <w:t>personali o insiemi di dati personali - sono i dirigenti e i titolari di incarichi di funzione dirigenziale, comunque denominati</w:t>
      </w:r>
      <w:r w:rsidR="0043040D" w:rsidRPr="007D1DFE">
        <w:rPr>
          <w:rFonts w:ascii="Times New Roman" w:eastAsia="Times New Roman" w:hAnsi="Times New Roman" w:cs="Times New Roman"/>
          <w:kern w:val="3"/>
          <w:sz w:val="24"/>
          <w:szCs w:val="24"/>
          <w:lang w:eastAsia="it-IT" w:bidi="hi-IN"/>
        </w:rPr>
        <w:t>,</w:t>
      </w:r>
      <w:r w:rsidR="004C324B" w:rsidRPr="007D1DFE">
        <w:rPr>
          <w:rFonts w:ascii="Times New Roman" w:eastAsia="Times New Roman" w:hAnsi="Times New Roman" w:cs="Times New Roman"/>
          <w:kern w:val="3"/>
          <w:sz w:val="24"/>
          <w:szCs w:val="24"/>
          <w:lang w:eastAsia="it-IT" w:bidi="hi-IN"/>
        </w:rPr>
        <w:t xml:space="preserve"> ossia coloro che esercitano </w:t>
      </w:r>
      <w:r w:rsidRPr="007D1DFE">
        <w:rPr>
          <w:rFonts w:ascii="Times New Roman" w:eastAsia="Times New Roman" w:hAnsi="Times New Roman" w:cs="Times New Roman"/>
          <w:kern w:val="3"/>
          <w:sz w:val="24"/>
          <w:szCs w:val="24"/>
          <w:lang w:eastAsia="it-IT" w:bidi="hi-IN"/>
        </w:rPr>
        <w:t>le competenze di amministrazione e gestione, ciascuno per la parte di propria competenza. Relativamente alle strutture di diretta collaborazione degli organi istituzionali, degli organi di controllo e garanzia e degli organi politici di cui all’articolo 3 del regolamento di organizzazione del Consiglio regionale, i rispettivi Delegati</w:t>
      </w:r>
      <w:r w:rsidR="0043040D" w:rsidRPr="007D1DFE">
        <w:rPr>
          <w:rFonts w:ascii="Times New Roman" w:eastAsia="Times New Roman" w:hAnsi="Times New Roman" w:cs="Times New Roman"/>
          <w:kern w:val="3"/>
          <w:sz w:val="24"/>
          <w:szCs w:val="24"/>
          <w:lang w:eastAsia="it-IT" w:bidi="hi-IN"/>
        </w:rPr>
        <w:t xml:space="preserve"> al trattamento</w:t>
      </w:r>
      <w:r w:rsidRPr="007D1DFE">
        <w:rPr>
          <w:rFonts w:ascii="Times New Roman" w:eastAsia="Times New Roman" w:hAnsi="Times New Roman" w:cs="Times New Roman"/>
          <w:kern w:val="3"/>
          <w:sz w:val="24"/>
          <w:szCs w:val="24"/>
          <w:lang w:eastAsia="it-IT" w:bidi="hi-IN"/>
        </w:rPr>
        <w:t xml:space="preserve"> sono individuati dalle pertinenti disposizioni dello stesso;</w:t>
      </w:r>
    </w:p>
    <w:p w:rsidR="004C324B" w:rsidRPr="007D1DFE" w:rsidRDefault="00C63A7F" w:rsidP="007D1DFE">
      <w:pPr>
        <w:pStyle w:val="Paragrafoelenco"/>
        <w:widowControl w:val="0"/>
        <w:numPr>
          <w:ilvl w:val="0"/>
          <w:numId w:val="30"/>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“Persone autorizzate al trattamento”, sono i dipende</w:t>
      </w:r>
      <w:r w:rsidR="004C324B" w:rsidRPr="007D1DFE">
        <w:rPr>
          <w:rFonts w:ascii="Times New Roman" w:eastAsia="Times New Roman" w:hAnsi="Times New Roman" w:cs="Times New Roman"/>
          <w:kern w:val="3"/>
          <w:sz w:val="24"/>
          <w:szCs w:val="24"/>
          <w:lang w:eastAsia="it-IT" w:bidi="hi-IN"/>
        </w:rPr>
        <w:t xml:space="preserve">nti formalmente autorizzati al </w:t>
      </w:r>
      <w:r w:rsidRPr="007D1DFE">
        <w:rPr>
          <w:rFonts w:ascii="Times New Roman" w:eastAsia="Times New Roman" w:hAnsi="Times New Roman" w:cs="Times New Roman"/>
          <w:kern w:val="3"/>
          <w:sz w:val="24"/>
          <w:szCs w:val="24"/>
          <w:lang w:eastAsia="it-IT" w:bidi="hi-IN"/>
        </w:rPr>
        <w:t>trattamento di dati personali dai Delegati</w:t>
      </w:r>
      <w:r w:rsidR="004C324B" w:rsidRPr="007D1DFE">
        <w:rPr>
          <w:rFonts w:ascii="Times New Roman" w:eastAsia="Times New Roman" w:hAnsi="Times New Roman" w:cs="Times New Roman"/>
          <w:kern w:val="3"/>
          <w:sz w:val="24"/>
          <w:szCs w:val="24"/>
          <w:lang w:eastAsia="it-IT" w:bidi="hi-IN"/>
        </w:rPr>
        <w:t xml:space="preserve"> al trattamento</w:t>
      </w:r>
      <w:r w:rsidRPr="007D1DFE">
        <w:rPr>
          <w:rFonts w:ascii="Times New Roman" w:eastAsia="Times New Roman" w:hAnsi="Times New Roman" w:cs="Times New Roman"/>
          <w:kern w:val="3"/>
          <w:sz w:val="24"/>
          <w:szCs w:val="24"/>
          <w:lang w:eastAsia="it-IT" w:bidi="hi-IN"/>
        </w:rPr>
        <w:t xml:space="preserve">, con specifica individuazione dell’ambito del </w:t>
      </w:r>
      <w:r w:rsidRPr="007D1DFE">
        <w:rPr>
          <w:rFonts w:ascii="Times New Roman" w:eastAsia="Times New Roman" w:hAnsi="Times New Roman" w:cs="Times New Roman"/>
          <w:kern w:val="3"/>
          <w:sz w:val="24"/>
          <w:szCs w:val="24"/>
          <w:lang w:eastAsia="it-IT" w:bidi="hi-IN"/>
        </w:rPr>
        <w:tab/>
        <w:t>trattamento consentito, sul presupposto dell’assegn</w:t>
      </w:r>
      <w:r w:rsidR="004C324B" w:rsidRPr="007D1DFE">
        <w:rPr>
          <w:rFonts w:ascii="Times New Roman" w:eastAsia="Times New Roman" w:hAnsi="Times New Roman" w:cs="Times New Roman"/>
          <w:kern w:val="3"/>
          <w:sz w:val="24"/>
          <w:szCs w:val="24"/>
          <w:lang w:eastAsia="it-IT" w:bidi="hi-IN"/>
        </w:rPr>
        <w:t xml:space="preserve">azione alla relativa struttura </w:t>
      </w:r>
      <w:r w:rsidRPr="007D1DFE">
        <w:rPr>
          <w:rFonts w:ascii="Times New Roman" w:eastAsia="Times New Roman" w:hAnsi="Times New Roman" w:cs="Times New Roman"/>
          <w:kern w:val="3"/>
          <w:sz w:val="24"/>
          <w:szCs w:val="24"/>
          <w:lang w:eastAsia="it-IT" w:bidi="hi-IN"/>
        </w:rPr>
        <w:t>organizzativa;</w:t>
      </w:r>
    </w:p>
    <w:p w:rsidR="004C324B" w:rsidRPr="007D1DFE" w:rsidRDefault="00C63A7F" w:rsidP="007D1DFE">
      <w:pPr>
        <w:pStyle w:val="Paragrafoelenco"/>
        <w:widowControl w:val="0"/>
        <w:numPr>
          <w:ilvl w:val="0"/>
          <w:numId w:val="30"/>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“Responsabili esterni del trattamento”, sono i soggetti terzi prestatori di servizi, scelti dal Titolare del trattamento ai sensi dell’articolo 28 del RGPD e n</w:t>
      </w:r>
      <w:r w:rsidR="004C324B" w:rsidRPr="007D1DFE">
        <w:rPr>
          <w:rFonts w:ascii="Times New Roman" w:eastAsia="Times New Roman" w:hAnsi="Times New Roman" w:cs="Times New Roman"/>
          <w:kern w:val="3"/>
          <w:sz w:val="24"/>
          <w:szCs w:val="24"/>
          <w:lang w:eastAsia="it-IT" w:bidi="hi-IN"/>
        </w:rPr>
        <w:t xml:space="preserve">el rispetto della normativa in </w:t>
      </w:r>
      <w:r w:rsidRPr="007D1DFE">
        <w:rPr>
          <w:rFonts w:ascii="Times New Roman" w:eastAsia="Times New Roman" w:hAnsi="Times New Roman" w:cs="Times New Roman"/>
          <w:kern w:val="3"/>
          <w:sz w:val="24"/>
          <w:szCs w:val="24"/>
          <w:lang w:eastAsia="it-IT" w:bidi="hi-IN"/>
        </w:rPr>
        <w:t>materia di contratti pubblici, che presentino garanzie sufficie</w:t>
      </w:r>
      <w:r w:rsidR="004C324B" w:rsidRPr="007D1DFE">
        <w:rPr>
          <w:rFonts w:ascii="Times New Roman" w:eastAsia="Times New Roman" w:hAnsi="Times New Roman" w:cs="Times New Roman"/>
          <w:kern w:val="3"/>
          <w:sz w:val="24"/>
          <w:szCs w:val="24"/>
          <w:lang w:eastAsia="it-IT" w:bidi="hi-IN"/>
        </w:rPr>
        <w:t xml:space="preserve">nti per mettere in atto misure </w:t>
      </w:r>
      <w:r w:rsidRPr="007D1DFE">
        <w:rPr>
          <w:rFonts w:ascii="Times New Roman" w:eastAsia="Times New Roman" w:hAnsi="Times New Roman" w:cs="Times New Roman"/>
          <w:kern w:val="3"/>
          <w:sz w:val="24"/>
          <w:szCs w:val="24"/>
          <w:lang w:eastAsia="it-IT" w:bidi="hi-IN"/>
        </w:rPr>
        <w:t>tecniche e organizzative adeguate, in modo tale che il trattame</w:t>
      </w:r>
      <w:r w:rsidR="004C324B" w:rsidRPr="007D1DFE">
        <w:rPr>
          <w:rFonts w:ascii="Times New Roman" w:eastAsia="Times New Roman" w:hAnsi="Times New Roman" w:cs="Times New Roman"/>
          <w:kern w:val="3"/>
          <w:sz w:val="24"/>
          <w:szCs w:val="24"/>
          <w:lang w:eastAsia="it-IT" w:bidi="hi-IN"/>
        </w:rPr>
        <w:t xml:space="preserve">nto soddisfi i requisiti dello </w:t>
      </w:r>
      <w:r w:rsidRPr="007D1DFE">
        <w:rPr>
          <w:rFonts w:ascii="Times New Roman" w:eastAsia="Times New Roman" w:hAnsi="Times New Roman" w:cs="Times New Roman"/>
          <w:kern w:val="3"/>
          <w:sz w:val="24"/>
          <w:szCs w:val="24"/>
          <w:lang w:eastAsia="it-IT" w:bidi="hi-IN"/>
        </w:rPr>
        <w:t xml:space="preserve">stesso RGPD e garantisca la tutela dei diritti dell’Interessato. Essi assumono le stesse </w:t>
      </w:r>
      <w:r w:rsidR="0043040D" w:rsidRPr="007D1DFE">
        <w:rPr>
          <w:rFonts w:ascii="Times New Roman" w:eastAsia="Times New Roman" w:hAnsi="Times New Roman" w:cs="Times New Roman"/>
          <w:kern w:val="3"/>
          <w:sz w:val="24"/>
          <w:szCs w:val="24"/>
          <w:lang w:eastAsia="it-IT" w:bidi="hi-IN"/>
        </w:rPr>
        <w:t>funzioni dei Delegati al trattamento,</w:t>
      </w:r>
      <w:r w:rsidRPr="007D1DFE">
        <w:rPr>
          <w:rFonts w:ascii="Times New Roman" w:eastAsia="Times New Roman" w:hAnsi="Times New Roman" w:cs="Times New Roman"/>
          <w:kern w:val="3"/>
          <w:sz w:val="24"/>
          <w:szCs w:val="24"/>
          <w:lang w:eastAsia="it-IT" w:bidi="hi-IN"/>
        </w:rPr>
        <w:t xml:space="preserve"> sottoscrivendo un contratto di prestazione di servizi che li obbliga </w:t>
      </w:r>
      <w:r w:rsidRPr="007D1DFE">
        <w:rPr>
          <w:rFonts w:ascii="Times New Roman" w:eastAsia="Times New Roman" w:hAnsi="Times New Roman" w:cs="Times New Roman"/>
          <w:kern w:val="3"/>
          <w:sz w:val="24"/>
          <w:szCs w:val="24"/>
          <w:lang w:eastAsia="it-IT" w:bidi="hi-IN"/>
        </w:rPr>
        <w:lastRenderedPageBreak/>
        <w:t>all’osservanza delle prescrizioni disposte dal RGPD;</w:t>
      </w:r>
    </w:p>
    <w:p w:rsidR="004C324B" w:rsidRPr="007D1DFE" w:rsidRDefault="00C63A7F" w:rsidP="007D1DFE">
      <w:pPr>
        <w:pStyle w:val="Paragrafoelenco"/>
        <w:widowControl w:val="0"/>
        <w:numPr>
          <w:ilvl w:val="0"/>
          <w:numId w:val="30"/>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“Responsabile della protezione dei dati personali (RPD)”, è il soggetto (persona fisica o giuridica) chiamato a svolgere i compiti e le attività previsti dall’articolo 39 del RGPD nonché quelli ulteriori stabiliti con il provvedimento di nomina o con atto successivo, </w:t>
      </w:r>
      <w:r w:rsidR="0043040D" w:rsidRPr="007D1DFE">
        <w:rPr>
          <w:rFonts w:ascii="Times New Roman" w:eastAsia="Times New Roman" w:hAnsi="Times New Roman" w:cs="Times New Roman"/>
          <w:kern w:val="3"/>
          <w:sz w:val="24"/>
          <w:szCs w:val="24"/>
          <w:lang w:eastAsia="it-IT" w:bidi="hi-IN"/>
        </w:rPr>
        <w:t xml:space="preserve">compiti e attività </w:t>
      </w:r>
      <w:r w:rsidRPr="007D1DFE">
        <w:rPr>
          <w:rFonts w:ascii="Times New Roman" w:eastAsia="Times New Roman" w:hAnsi="Times New Roman" w:cs="Times New Roman"/>
          <w:kern w:val="3"/>
          <w:sz w:val="24"/>
          <w:szCs w:val="24"/>
          <w:lang w:eastAsia="it-IT" w:bidi="hi-IN"/>
        </w:rPr>
        <w:t>da eseguirsi nei termini e con le modalità di cui all’articolo 38 dello stesso;</w:t>
      </w:r>
    </w:p>
    <w:p w:rsidR="00CE3BF4" w:rsidRPr="007D1DFE" w:rsidRDefault="00C63A7F" w:rsidP="007D1DFE">
      <w:pPr>
        <w:pStyle w:val="Paragrafoelenco"/>
        <w:widowControl w:val="0"/>
        <w:numPr>
          <w:ilvl w:val="0"/>
          <w:numId w:val="30"/>
        </w:numPr>
        <w:suppressAutoHyphens/>
        <w:autoSpaceDN w:val="0"/>
        <w:spacing w:line="240" w:lineRule="auto"/>
        <w:ind w:left="567" w:hanging="283"/>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 xml:space="preserve">“Gruppo di Lavoro Privacy”, è un organismo, costituito </w:t>
      </w:r>
      <w:r w:rsidR="004C324B" w:rsidRPr="007D1DFE">
        <w:rPr>
          <w:rFonts w:ascii="Times New Roman" w:eastAsia="Times New Roman" w:hAnsi="Times New Roman" w:cs="Times New Roman"/>
          <w:kern w:val="3"/>
          <w:sz w:val="24"/>
          <w:szCs w:val="24"/>
          <w:lang w:eastAsia="it-IT" w:bidi="hi-IN"/>
        </w:rPr>
        <w:t xml:space="preserve">con apposito provvedimento del </w:t>
      </w:r>
      <w:r w:rsidRPr="007D1DFE">
        <w:rPr>
          <w:rFonts w:ascii="Times New Roman" w:eastAsia="Times New Roman" w:hAnsi="Times New Roman" w:cs="Times New Roman"/>
          <w:kern w:val="3"/>
          <w:sz w:val="24"/>
          <w:szCs w:val="24"/>
          <w:lang w:eastAsia="it-IT" w:bidi="hi-IN"/>
        </w:rPr>
        <w:t>Segretario generale, preposto allo svolgimento di compiti op</w:t>
      </w:r>
      <w:r w:rsidR="004C324B" w:rsidRPr="007D1DFE">
        <w:rPr>
          <w:rFonts w:ascii="Times New Roman" w:eastAsia="Times New Roman" w:hAnsi="Times New Roman" w:cs="Times New Roman"/>
          <w:kern w:val="3"/>
          <w:sz w:val="24"/>
          <w:szCs w:val="24"/>
          <w:lang w:eastAsia="it-IT" w:bidi="hi-IN"/>
        </w:rPr>
        <w:t xml:space="preserve">erativi di analisi, gestione e </w:t>
      </w:r>
      <w:r w:rsidRPr="007D1DFE">
        <w:rPr>
          <w:rFonts w:ascii="Times New Roman" w:eastAsia="Times New Roman" w:hAnsi="Times New Roman" w:cs="Times New Roman"/>
          <w:kern w:val="3"/>
          <w:sz w:val="24"/>
          <w:szCs w:val="24"/>
          <w:lang w:eastAsia="it-IT" w:bidi="hi-IN"/>
        </w:rPr>
        <w:t>soluzione dei problemi applicativi del RGPD nonché all’indivi</w:t>
      </w:r>
      <w:r w:rsidR="004C324B" w:rsidRPr="007D1DFE">
        <w:rPr>
          <w:rFonts w:ascii="Times New Roman" w:eastAsia="Times New Roman" w:hAnsi="Times New Roman" w:cs="Times New Roman"/>
          <w:kern w:val="3"/>
          <w:sz w:val="24"/>
          <w:szCs w:val="24"/>
          <w:lang w:eastAsia="it-IT" w:bidi="hi-IN"/>
        </w:rPr>
        <w:t xml:space="preserve">duazione di soluzioni tecniche </w:t>
      </w:r>
      <w:r w:rsidRPr="007D1DFE">
        <w:rPr>
          <w:rFonts w:ascii="Times New Roman" w:eastAsia="Times New Roman" w:hAnsi="Times New Roman" w:cs="Times New Roman"/>
          <w:kern w:val="3"/>
          <w:sz w:val="24"/>
          <w:szCs w:val="24"/>
          <w:lang w:eastAsia="it-IT" w:bidi="hi-IN"/>
        </w:rPr>
        <w:t>tese a prevenire e contrastare i rischi connessi alla sicure</w:t>
      </w:r>
      <w:r w:rsidR="004C324B" w:rsidRPr="007D1DFE">
        <w:rPr>
          <w:rFonts w:ascii="Times New Roman" w:eastAsia="Times New Roman" w:hAnsi="Times New Roman" w:cs="Times New Roman"/>
          <w:kern w:val="3"/>
          <w:sz w:val="24"/>
          <w:szCs w:val="24"/>
          <w:lang w:eastAsia="it-IT" w:bidi="hi-IN"/>
        </w:rPr>
        <w:t xml:space="preserve">zza informatica correlati alla </w:t>
      </w:r>
      <w:r w:rsidRPr="007D1DFE">
        <w:rPr>
          <w:rFonts w:ascii="Times New Roman" w:eastAsia="Times New Roman" w:hAnsi="Times New Roman" w:cs="Times New Roman"/>
          <w:kern w:val="3"/>
          <w:sz w:val="24"/>
          <w:szCs w:val="24"/>
          <w:lang w:eastAsia="it-IT" w:bidi="hi-IN"/>
        </w:rPr>
        <w:t>protezione dei dati personali. I suoi componenti, scelti tra i di</w:t>
      </w:r>
      <w:r w:rsidR="004C324B" w:rsidRPr="007D1DFE">
        <w:rPr>
          <w:rFonts w:ascii="Times New Roman" w:eastAsia="Times New Roman" w:hAnsi="Times New Roman" w:cs="Times New Roman"/>
          <w:kern w:val="3"/>
          <w:sz w:val="24"/>
          <w:szCs w:val="24"/>
          <w:lang w:eastAsia="it-IT" w:bidi="hi-IN"/>
        </w:rPr>
        <w:t xml:space="preserve">pendenti in servizio presso il </w:t>
      </w:r>
      <w:r w:rsidRPr="007D1DFE">
        <w:rPr>
          <w:rFonts w:ascii="Times New Roman" w:eastAsia="Times New Roman" w:hAnsi="Times New Roman" w:cs="Times New Roman"/>
          <w:kern w:val="3"/>
          <w:sz w:val="24"/>
          <w:szCs w:val="24"/>
          <w:lang w:eastAsia="it-IT" w:bidi="hi-IN"/>
        </w:rPr>
        <w:t>Consiglio regionale o altre pubbliche amministrazio</w:t>
      </w:r>
      <w:r w:rsidR="004C324B" w:rsidRPr="007D1DFE">
        <w:rPr>
          <w:rFonts w:ascii="Times New Roman" w:eastAsia="Times New Roman" w:hAnsi="Times New Roman" w:cs="Times New Roman"/>
          <w:kern w:val="3"/>
          <w:sz w:val="24"/>
          <w:szCs w:val="24"/>
          <w:lang w:eastAsia="it-IT" w:bidi="hi-IN"/>
        </w:rPr>
        <w:t>ni ovvero tra soggetti esterni all’A</w:t>
      </w:r>
      <w:r w:rsidRPr="007D1DFE">
        <w:rPr>
          <w:rFonts w:ascii="Times New Roman" w:eastAsia="Times New Roman" w:hAnsi="Times New Roman" w:cs="Times New Roman"/>
          <w:kern w:val="3"/>
          <w:sz w:val="24"/>
          <w:szCs w:val="24"/>
          <w:lang w:eastAsia="it-IT" w:bidi="hi-IN"/>
        </w:rPr>
        <w:t>mministrazione, in ragione della intersettorialità, inter</w:t>
      </w:r>
      <w:r w:rsidR="004C324B" w:rsidRPr="007D1DFE">
        <w:rPr>
          <w:rFonts w:ascii="Times New Roman" w:eastAsia="Times New Roman" w:hAnsi="Times New Roman" w:cs="Times New Roman"/>
          <w:kern w:val="3"/>
          <w:sz w:val="24"/>
          <w:szCs w:val="24"/>
          <w:lang w:eastAsia="it-IT" w:bidi="hi-IN"/>
        </w:rPr>
        <w:t xml:space="preserve">disciplinarietà e integrazione </w:t>
      </w:r>
      <w:r w:rsidRPr="007D1DFE">
        <w:rPr>
          <w:rFonts w:ascii="Times New Roman" w:eastAsia="Times New Roman" w:hAnsi="Times New Roman" w:cs="Times New Roman"/>
          <w:kern w:val="3"/>
          <w:sz w:val="24"/>
          <w:szCs w:val="24"/>
          <w:lang w:eastAsia="it-IT" w:bidi="hi-IN"/>
        </w:rPr>
        <w:t>funzionale dei compiti che lo stesso è chiamato a svolgere</w:t>
      </w:r>
      <w:r w:rsidR="0043040D" w:rsidRPr="007D1DFE">
        <w:rPr>
          <w:rFonts w:ascii="Times New Roman" w:eastAsia="Times New Roman" w:hAnsi="Times New Roman" w:cs="Times New Roman"/>
          <w:kern w:val="3"/>
          <w:sz w:val="24"/>
          <w:szCs w:val="24"/>
          <w:lang w:eastAsia="it-IT" w:bidi="hi-IN"/>
        </w:rPr>
        <w:t xml:space="preserve"> (</w:t>
      </w:r>
      <w:r w:rsidRPr="007D1DFE">
        <w:rPr>
          <w:rFonts w:ascii="Times New Roman" w:eastAsia="Times New Roman" w:hAnsi="Times New Roman" w:cs="Times New Roman"/>
          <w:kern w:val="3"/>
          <w:sz w:val="24"/>
          <w:szCs w:val="24"/>
          <w:lang w:eastAsia="it-IT" w:bidi="hi-IN"/>
        </w:rPr>
        <w:t>che interessano tra</w:t>
      </w:r>
      <w:r w:rsidR="004C324B" w:rsidRPr="007D1DFE">
        <w:rPr>
          <w:rFonts w:ascii="Times New Roman" w:eastAsia="Times New Roman" w:hAnsi="Times New Roman" w:cs="Times New Roman"/>
          <w:kern w:val="3"/>
          <w:sz w:val="24"/>
          <w:szCs w:val="24"/>
          <w:lang w:eastAsia="it-IT" w:bidi="hi-IN"/>
        </w:rPr>
        <w:t xml:space="preserve">sversalmente </w:t>
      </w:r>
      <w:r w:rsidRPr="007D1DFE">
        <w:rPr>
          <w:rFonts w:ascii="Times New Roman" w:eastAsia="Times New Roman" w:hAnsi="Times New Roman" w:cs="Times New Roman"/>
          <w:kern w:val="3"/>
          <w:sz w:val="24"/>
          <w:szCs w:val="24"/>
          <w:lang w:eastAsia="it-IT" w:bidi="hi-IN"/>
        </w:rPr>
        <w:t>tutte le strutture in cui si declina l’organizzazione del Consigl</w:t>
      </w:r>
      <w:r w:rsidR="0043040D" w:rsidRPr="007D1DFE">
        <w:rPr>
          <w:rFonts w:ascii="Times New Roman" w:eastAsia="Times New Roman" w:hAnsi="Times New Roman" w:cs="Times New Roman"/>
          <w:kern w:val="3"/>
          <w:sz w:val="24"/>
          <w:szCs w:val="24"/>
          <w:lang w:eastAsia="it-IT" w:bidi="hi-IN"/>
        </w:rPr>
        <w:t>io regionale)</w:t>
      </w:r>
      <w:r w:rsidR="004C324B" w:rsidRPr="007D1DFE">
        <w:rPr>
          <w:rFonts w:ascii="Times New Roman" w:eastAsia="Times New Roman" w:hAnsi="Times New Roman" w:cs="Times New Roman"/>
          <w:kern w:val="3"/>
          <w:sz w:val="24"/>
          <w:szCs w:val="24"/>
          <w:lang w:eastAsia="it-IT" w:bidi="hi-IN"/>
        </w:rPr>
        <w:t xml:space="preserve"> devono possedere </w:t>
      </w:r>
      <w:r w:rsidRPr="007D1DFE">
        <w:rPr>
          <w:rFonts w:ascii="Times New Roman" w:eastAsia="Times New Roman" w:hAnsi="Times New Roman" w:cs="Times New Roman"/>
          <w:kern w:val="3"/>
          <w:sz w:val="24"/>
          <w:szCs w:val="24"/>
          <w:lang w:eastAsia="it-IT" w:bidi="hi-IN"/>
        </w:rPr>
        <w:t>specifiche competenze e professionalità in materia di protezione dei dati personali</w:t>
      </w:r>
      <w:r w:rsidR="003F3263" w:rsidRPr="007D1DFE">
        <w:rPr>
          <w:rFonts w:ascii="Times New Roman" w:eastAsia="Times New Roman" w:hAnsi="Times New Roman" w:cs="Times New Roman"/>
          <w:kern w:val="3"/>
          <w:sz w:val="24"/>
          <w:szCs w:val="24"/>
          <w:lang w:eastAsia="it-IT" w:bidi="hi-IN"/>
        </w:rPr>
        <w:t>.</w:t>
      </w:r>
    </w:p>
    <w:p w:rsidR="00450393" w:rsidRPr="007D1DFE" w:rsidRDefault="00450393" w:rsidP="007D1DFE">
      <w:pPr>
        <w:widowControl w:val="0"/>
        <w:suppressAutoHyphens/>
        <w:autoSpaceDN w:val="0"/>
        <w:spacing w:line="240" w:lineRule="auto"/>
        <w:ind w:firstLine="708"/>
        <w:jc w:val="both"/>
        <w:textAlignment w:val="baseline"/>
        <w:rPr>
          <w:rFonts w:ascii="Times New Roman" w:eastAsia="Times New Roman" w:hAnsi="Times New Roman" w:cs="Times New Roman"/>
          <w:kern w:val="3"/>
          <w:sz w:val="24"/>
          <w:szCs w:val="24"/>
          <w:lang w:eastAsia="it-IT" w:bidi="hi-IN"/>
        </w:rPr>
      </w:pPr>
    </w:p>
    <w:p w:rsidR="005373A9" w:rsidRPr="007D1DFE" w:rsidRDefault="005373A9" w:rsidP="007D1DFE">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eastAsia="it-IT" w:bidi="hi-IN"/>
        </w:rPr>
      </w:pPr>
    </w:p>
    <w:p w:rsidR="00DD3189" w:rsidRPr="007D1DFE" w:rsidRDefault="00450393" w:rsidP="007D1DFE">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ab/>
        <w:t xml:space="preserve">Con riferimento alla futura nuova nomina </w:t>
      </w:r>
      <w:r w:rsidR="005F4F33" w:rsidRPr="007D1DFE">
        <w:rPr>
          <w:rFonts w:ascii="Times New Roman" w:eastAsia="Times New Roman" w:hAnsi="Times New Roman" w:cs="Times New Roman"/>
          <w:kern w:val="3"/>
          <w:sz w:val="24"/>
          <w:szCs w:val="24"/>
          <w:lang w:eastAsia="it-IT" w:bidi="hi-IN"/>
        </w:rPr>
        <w:t>del RPD, si rappresenta</w:t>
      </w:r>
      <w:r w:rsidRPr="007D1DFE">
        <w:rPr>
          <w:rFonts w:ascii="Times New Roman" w:eastAsia="Times New Roman" w:hAnsi="Times New Roman" w:cs="Times New Roman"/>
          <w:kern w:val="3"/>
          <w:sz w:val="24"/>
          <w:szCs w:val="24"/>
          <w:lang w:eastAsia="it-IT" w:bidi="hi-IN"/>
        </w:rPr>
        <w:t xml:space="preserve"> che</w:t>
      </w:r>
      <w:r w:rsidR="00397E6F" w:rsidRPr="007D1DFE">
        <w:rPr>
          <w:rFonts w:ascii="Times New Roman" w:eastAsia="Times New Roman" w:hAnsi="Times New Roman" w:cs="Times New Roman"/>
          <w:kern w:val="3"/>
          <w:sz w:val="24"/>
          <w:szCs w:val="24"/>
          <w:lang w:eastAsia="it-IT" w:bidi="hi-IN"/>
        </w:rPr>
        <w:t xml:space="preserve"> </w:t>
      </w:r>
      <w:r w:rsidR="00DD3189" w:rsidRPr="007D1DFE">
        <w:rPr>
          <w:rFonts w:ascii="Times New Roman" w:eastAsia="Times New Roman" w:hAnsi="Times New Roman" w:cs="Times New Roman"/>
          <w:kern w:val="3"/>
          <w:sz w:val="24"/>
          <w:szCs w:val="24"/>
          <w:lang w:eastAsia="it-IT" w:bidi="hi-IN"/>
        </w:rPr>
        <w:t xml:space="preserve">la stessa </w:t>
      </w:r>
      <w:r w:rsidR="00397E6F" w:rsidRPr="007D1DFE">
        <w:rPr>
          <w:rFonts w:ascii="Times New Roman" w:eastAsia="Times New Roman" w:hAnsi="Times New Roman" w:cs="Times New Roman"/>
          <w:kern w:val="3"/>
          <w:sz w:val="24"/>
          <w:szCs w:val="24"/>
          <w:lang w:eastAsia="it-IT" w:bidi="hi-IN"/>
        </w:rPr>
        <w:t xml:space="preserve">potrà </w:t>
      </w:r>
      <w:r w:rsidR="005F4F33" w:rsidRPr="007D1DFE">
        <w:rPr>
          <w:rFonts w:ascii="Times New Roman" w:eastAsia="Times New Roman" w:hAnsi="Times New Roman" w:cs="Times New Roman"/>
          <w:kern w:val="3"/>
          <w:sz w:val="24"/>
          <w:szCs w:val="24"/>
          <w:lang w:eastAsia="it-IT" w:bidi="hi-IN"/>
        </w:rPr>
        <w:t xml:space="preserve">riguardare </w:t>
      </w:r>
      <w:r w:rsidR="00397E6F" w:rsidRPr="007D1DFE">
        <w:rPr>
          <w:rFonts w:ascii="Times New Roman" w:eastAsia="Times New Roman" w:hAnsi="Times New Roman" w:cs="Times New Roman"/>
          <w:kern w:val="3"/>
          <w:sz w:val="24"/>
          <w:szCs w:val="24"/>
          <w:lang w:eastAsia="it-IT" w:bidi="hi-IN"/>
        </w:rPr>
        <w:t xml:space="preserve">sia un soggetto interno che uno esterno all’Amministrazione, </w:t>
      </w:r>
      <w:proofErr w:type="spellStart"/>
      <w:r w:rsidR="00397E6F" w:rsidRPr="007D1DFE">
        <w:rPr>
          <w:rFonts w:ascii="Times New Roman" w:eastAsia="Times New Roman" w:hAnsi="Times New Roman" w:cs="Times New Roman"/>
          <w:kern w:val="3"/>
          <w:sz w:val="24"/>
          <w:szCs w:val="24"/>
          <w:lang w:eastAsia="it-IT" w:bidi="hi-IN"/>
        </w:rPr>
        <w:t>purch</w:t>
      </w:r>
      <w:r w:rsidR="004C324B" w:rsidRPr="007D1DFE">
        <w:rPr>
          <w:rFonts w:ascii="Times New Roman" w:eastAsia="Times New Roman" w:hAnsi="Times New Roman" w:cs="Times New Roman"/>
          <w:kern w:val="3"/>
          <w:sz w:val="24"/>
          <w:szCs w:val="24"/>
          <w:lang w:eastAsia="it-IT" w:bidi="hi-IN"/>
        </w:rPr>
        <w:t>è</w:t>
      </w:r>
      <w:proofErr w:type="spellEnd"/>
      <w:r w:rsidR="00397E6F" w:rsidRPr="007D1DFE">
        <w:rPr>
          <w:rFonts w:ascii="Times New Roman" w:eastAsia="Times New Roman" w:hAnsi="Times New Roman" w:cs="Times New Roman"/>
          <w:kern w:val="3"/>
          <w:sz w:val="24"/>
          <w:szCs w:val="24"/>
          <w:lang w:eastAsia="it-IT" w:bidi="hi-IN"/>
        </w:rPr>
        <w:t xml:space="preserve"> distinto dal RPCT, in quanto va evitata la sovrapposizione dei ruoli fra tal</w:t>
      </w:r>
      <w:r w:rsidR="00C72CBD" w:rsidRPr="007D1DFE">
        <w:rPr>
          <w:rFonts w:ascii="Times New Roman" w:eastAsia="Times New Roman" w:hAnsi="Times New Roman" w:cs="Times New Roman"/>
          <w:kern w:val="3"/>
          <w:sz w:val="24"/>
          <w:szCs w:val="24"/>
          <w:lang w:eastAsia="it-IT" w:bidi="hi-IN"/>
        </w:rPr>
        <w:t xml:space="preserve">i figure, che finirebbe per limitare </w:t>
      </w:r>
      <w:r w:rsidR="00397E6F" w:rsidRPr="007D1DFE">
        <w:rPr>
          <w:rFonts w:ascii="Times New Roman" w:eastAsia="Times New Roman" w:hAnsi="Times New Roman" w:cs="Times New Roman"/>
          <w:kern w:val="3"/>
          <w:sz w:val="24"/>
          <w:szCs w:val="24"/>
          <w:lang w:eastAsia="it-IT" w:bidi="hi-IN"/>
        </w:rPr>
        <w:t xml:space="preserve">l’effettività dello svolgimento delle attività riconducibili alle </w:t>
      </w:r>
      <w:r w:rsidR="00C72CBD" w:rsidRPr="007D1DFE">
        <w:rPr>
          <w:rFonts w:ascii="Times New Roman" w:eastAsia="Times New Roman" w:hAnsi="Times New Roman" w:cs="Times New Roman"/>
          <w:kern w:val="3"/>
          <w:sz w:val="24"/>
          <w:szCs w:val="24"/>
          <w:lang w:eastAsia="it-IT" w:bidi="hi-IN"/>
        </w:rPr>
        <w:t>rispettive</w:t>
      </w:r>
      <w:r w:rsidR="00397E6F" w:rsidRPr="007D1DFE">
        <w:rPr>
          <w:rFonts w:ascii="Times New Roman" w:eastAsia="Times New Roman" w:hAnsi="Times New Roman" w:cs="Times New Roman"/>
          <w:kern w:val="3"/>
          <w:sz w:val="24"/>
          <w:szCs w:val="24"/>
          <w:lang w:eastAsia="it-IT" w:bidi="hi-IN"/>
        </w:rPr>
        <w:t xml:space="preserve"> funzioni</w:t>
      </w:r>
      <w:r w:rsidR="00DD3189" w:rsidRPr="007D1DFE">
        <w:rPr>
          <w:rFonts w:ascii="Times New Roman" w:eastAsia="Times New Roman" w:hAnsi="Times New Roman" w:cs="Times New Roman"/>
          <w:kern w:val="3"/>
          <w:sz w:val="24"/>
          <w:szCs w:val="24"/>
          <w:lang w:eastAsia="it-IT" w:bidi="hi-IN"/>
        </w:rPr>
        <w:t>.</w:t>
      </w:r>
      <w:r w:rsidR="00D0189E" w:rsidRPr="007D1DFE">
        <w:rPr>
          <w:rFonts w:ascii="Times New Roman" w:eastAsia="Times New Roman" w:hAnsi="Times New Roman" w:cs="Times New Roman"/>
          <w:kern w:val="3"/>
          <w:sz w:val="24"/>
          <w:szCs w:val="24"/>
          <w:lang w:eastAsia="it-IT" w:bidi="hi-IN"/>
        </w:rPr>
        <w:t xml:space="preserve"> Al riguardo</w:t>
      </w:r>
      <w:r w:rsidR="00232003" w:rsidRPr="007D1DFE">
        <w:rPr>
          <w:rFonts w:ascii="Times New Roman" w:eastAsia="Times New Roman" w:hAnsi="Times New Roman" w:cs="Times New Roman"/>
          <w:kern w:val="3"/>
          <w:sz w:val="24"/>
          <w:szCs w:val="24"/>
          <w:lang w:eastAsia="it-IT" w:bidi="hi-IN"/>
        </w:rPr>
        <w:t>,</w:t>
      </w:r>
      <w:r w:rsidR="00C72CBD" w:rsidRPr="007D1DFE">
        <w:rPr>
          <w:rFonts w:ascii="Times New Roman" w:eastAsia="Times New Roman" w:hAnsi="Times New Roman" w:cs="Times New Roman"/>
          <w:kern w:val="3"/>
          <w:sz w:val="24"/>
          <w:szCs w:val="24"/>
          <w:lang w:eastAsia="it-IT" w:bidi="hi-IN"/>
        </w:rPr>
        <w:t xml:space="preserve"> </w:t>
      </w:r>
      <w:r w:rsidR="00232003" w:rsidRPr="007D1DFE">
        <w:rPr>
          <w:rFonts w:ascii="Times New Roman" w:eastAsia="Times New Roman" w:hAnsi="Times New Roman" w:cs="Times New Roman"/>
          <w:kern w:val="3"/>
          <w:sz w:val="24"/>
          <w:szCs w:val="24"/>
          <w:lang w:eastAsia="it-IT" w:bidi="hi-IN"/>
        </w:rPr>
        <w:t xml:space="preserve">stante la delicatezza e complessità delle attività di pertinenza del RPD e coerentemente con quanto previsto dal RGPD, </w:t>
      </w:r>
      <w:r w:rsidR="00C72CBD" w:rsidRPr="007D1DFE">
        <w:rPr>
          <w:rFonts w:ascii="Times New Roman" w:eastAsia="Times New Roman" w:hAnsi="Times New Roman" w:cs="Times New Roman"/>
          <w:kern w:val="3"/>
          <w:sz w:val="24"/>
          <w:szCs w:val="24"/>
          <w:lang w:eastAsia="it-IT" w:bidi="hi-IN"/>
        </w:rPr>
        <w:t>è inoltre opportuno</w:t>
      </w:r>
      <w:r w:rsidR="00232003" w:rsidRPr="007D1DFE">
        <w:rPr>
          <w:rFonts w:ascii="Times New Roman" w:eastAsia="Times New Roman" w:hAnsi="Times New Roman" w:cs="Times New Roman"/>
          <w:kern w:val="3"/>
          <w:sz w:val="24"/>
          <w:szCs w:val="24"/>
          <w:lang w:eastAsia="it-IT" w:bidi="hi-IN"/>
        </w:rPr>
        <w:t>, al fine di c</w:t>
      </w:r>
      <w:r w:rsidR="00C72CBD" w:rsidRPr="007D1DFE">
        <w:rPr>
          <w:rFonts w:ascii="Times New Roman" w:eastAsia="Times New Roman" w:hAnsi="Times New Roman" w:cs="Times New Roman"/>
          <w:kern w:val="3"/>
          <w:sz w:val="24"/>
          <w:szCs w:val="24"/>
          <w:lang w:eastAsia="it-IT" w:bidi="hi-IN"/>
        </w:rPr>
        <w:t>oniugare al meglio il requisito della competenza e professionalità in materia di protezione di dati personali e quello dell’autonomia e indipendenza (assenza di conflitto di interessi ovvero non sottoposizione/assoggettamento a vincoli di subordinazione, all'esercizio del potere direttivo, organizzativo e disciplinare</w:t>
      </w:r>
      <w:r w:rsidR="00232003" w:rsidRPr="007D1DFE">
        <w:rPr>
          <w:rFonts w:ascii="Times New Roman" w:eastAsia="Times New Roman" w:hAnsi="Times New Roman" w:cs="Times New Roman"/>
          <w:kern w:val="3"/>
          <w:sz w:val="24"/>
          <w:szCs w:val="24"/>
          <w:lang w:eastAsia="it-IT" w:bidi="hi-IN"/>
        </w:rPr>
        <w:t xml:space="preserve"> nello svolgimento delle funzioni</w:t>
      </w:r>
      <w:r w:rsidR="00C72CBD" w:rsidRPr="007D1DFE">
        <w:rPr>
          <w:rFonts w:ascii="Times New Roman" w:eastAsia="Times New Roman" w:hAnsi="Times New Roman" w:cs="Times New Roman"/>
          <w:kern w:val="3"/>
          <w:sz w:val="24"/>
          <w:szCs w:val="24"/>
          <w:lang w:eastAsia="it-IT" w:bidi="hi-IN"/>
        </w:rPr>
        <w:t>)</w:t>
      </w:r>
      <w:r w:rsidR="004C4F7D" w:rsidRPr="007D1DFE">
        <w:rPr>
          <w:rFonts w:ascii="Times New Roman" w:eastAsia="Times New Roman" w:hAnsi="Times New Roman" w:cs="Times New Roman"/>
          <w:kern w:val="3"/>
          <w:sz w:val="24"/>
          <w:szCs w:val="24"/>
          <w:lang w:eastAsia="it-IT" w:bidi="hi-IN"/>
        </w:rPr>
        <w:t>, che</w:t>
      </w:r>
      <w:r w:rsidR="00C72CBD" w:rsidRPr="007D1DFE">
        <w:rPr>
          <w:rFonts w:ascii="Times New Roman" w:eastAsia="Times New Roman" w:hAnsi="Times New Roman" w:cs="Times New Roman"/>
          <w:kern w:val="3"/>
          <w:sz w:val="24"/>
          <w:szCs w:val="24"/>
          <w:lang w:eastAsia="it-IT" w:bidi="hi-IN"/>
        </w:rPr>
        <w:t xml:space="preserve"> il RPD</w:t>
      </w:r>
      <w:r w:rsidR="00232003" w:rsidRPr="007D1DFE">
        <w:rPr>
          <w:rFonts w:ascii="Times New Roman" w:eastAsia="Times New Roman" w:hAnsi="Times New Roman" w:cs="Times New Roman"/>
          <w:kern w:val="3"/>
          <w:sz w:val="24"/>
          <w:szCs w:val="24"/>
          <w:lang w:eastAsia="it-IT" w:bidi="hi-IN"/>
        </w:rPr>
        <w:t xml:space="preserve"> non</w:t>
      </w:r>
      <w:r w:rsidR="00C72CBD" w:rsidRPr="007D1DFE">
        <w:rPr>
          <w:rFonts w:ascii="Times New Roman" w:eastAsia="Times New Roman" w:hAnsi="Times New Roman" w:cs="Times New Roman"/>
          <w:kern w:val="3"/>
          <w:sz w:val="24"/>
          <w:szCs w:val="24"/>
          <w:lang w:eastAsia="it-IT" w:bidi="hi-IN"/>
        </w:rPr>
        <w:t xml:space="preserve"> sia preposto al trattamento di dati personali e, peggio ancora, abbia una competenza specifica nella definizione delle finalità o modalità del trattamento degli stessi.</w:t>
      </w:r>
    </w:p>
    <w:p w:rsidR="00DD3189" w:rsidRPr="007D1DFE" w:rsidRDefault="00450393" w:rsidP="007D1DFE">
      <w:pPr>
        <w:widowControl w:val="0"/>
        <w:suppressAutoHyphens/>
        <w:autoSpaceDN w:val="0"/>
        <w:spacing w:line="240" w:lineRule="auto"/>
        <w:jc w:val="both"/>
        <w:textAlignment w:val="baseline"/>
        <w:rPr>
          <w:rFonts w:ascii="Times New Roman" w:eastAsia="Times New Roman" w:hAnsi="Times New Roman" w:cs="Times New Roman"/>
          <w:kern w:val="3"/>
          <w:sz w:val="24"/>
          <w:szCs w:val="24"/>
          <w:lang w:eastAsia="it-IT" w:bidi="hi-IN"/>
        </w:rPr>
      </w:pPr>
      <w:r w:rsidRPr="007D1DFE">
        <w:rPr>
          <w:rFonts w:ascii="Times New Roman" w:eastAsia="Times New Roman" w:hAnsi="Times New Roman" w:cs="Times New Roman"/>
          <w:kern w:val="3"/>
          <w:sz w:val="24"/>
          <w:szCs w:val="24"/>
          <w:lang w:eastAsia="it-IT" w:bidi="hi-IN"/>
        </w:rPr>
        <w:tab/>
      </w:r>
      <w:r w:rsidR="00DD3189" w:rsidRPr="007D1DFE">
        <w:rPr>
          <w:rFonts w:ascii="Times New Roman" w:eastAsia="Times New Roman" w:hAnsi="Times New Roman" w:cs="Times New Roman"/>
          <w:kern w:val="3"/>
          <w:sz w:val="24"/>
          <w:szCs w:val="24"/>
          <w:lang w:eastAsia="it-IT" w:bidi="hi-IN"/>
        </w:rPr>
        <w:t xml:space="preserve">Come rilevato anche </w:t>
      </w:r>
      <w:r w:rsidR="00D0189E" w:rsidRPr="007D1DFE">
        <w:rPr>
          <w:rFonts w:ascii="Times New Roman" w:eastAsia="Times New Roman" w:hAnsi="Times New Roman" w:cs="Times New Roman"/>
          <w:kern w:val="3"/>
          <w:sz w:val="24"/>
          <w:szCs w:val="24"/>
          <w:lang w:eastAsia="it-IT" w:bidi="hi-IN"/>
        </w:rPr>
        <w:t xml:space="preserve">da ANAC </w:t>
      </w:r>
      <w:r w:rsidR="00DD3189" w:rsidRPr="007D1DFE">
        <w:rPr>
          <w:rFonts w:ascii="Times New Roman" w:eastAsia="Times New Roman" w:hAnsi="Times New Roman" w:cs="Times New Roman"/>
          <w:kern w:val="3"/>
          <w:sz w:val="24"/>
          <w:szCs w:val="24"/>
          <w:lang w:eastAsia="it-IT" w:bidi="hi-IN"/>
        </w:rPr>
        <w:t xml:space="preserve">nel PNA 2018 </w:t>
      </w:r>
      <w:r w:rsidR="00390008" w:rsidRPr="007D1DFE">
        <w:rPr>
          <w:rFonts w:ascii="Times New Roman" w:eastAsia="Times New Roman" w:hAnsi="Times New Roman" w:cs="Times New Roman"/>
          <w:kern w:val="3"/>
          <w:sz w:val="24"/>
          <w:szCs w:val="24"/>
          <w:lang w:eastAsia="it-IT" w:bidi="hi-IN"/>
        </w:rPr>
        <w:t>“</w:t>
      </w:r>
      <w:r w:rsidR="00390008" w:rsidRPr="007D1DFE">
        <w:rPr>
          <w:rFonts w:ascii="Times New Roman" w:eastAsia="Times New Roman" w:hAnsi="Times New Roman" w:cs="Times New Roman"/>
          <w:i/>
          <w:kern w:val="3"/>
          <w:sz w:val="24"/>
          <w:szCs w:val="24"/>
          <w:lang w:eastAsia="it-IT" w:bidi="hi-IN"/>
        </w:rPr>
        <w:t>il RPD costituisce una figura di riferimento anche per il RPCT, anche se naturalmente non può sostituirsi ad esso nell’esercizio delle funzioni. 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 In questi casi il RPCT ben si può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Ciò anche se il RPD sia stato eventualmente già consultato in prima istanza dall’ufficio che ha riscontrato l’accesso civico oggetto del riesame.”</w:t>
      </w:r>
    </w:p>
    <w:p w:rsidR="00390008" w:rsidRPr="007D1DFE" w:rsidRDefault="00390008" w:rsidP="007D1DFE">
      <w:pPr>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6.1. Tipologia dei documenti, dati e informazioni oggetto di pubblicazione. Individuazione del responsabile della trasmissione e del responsabile della pubblicazione.</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Nell’Allegato 5 sono individuati i contenuti degli obblighi di pubblicazione e la tempistica per l’aggiornamento dei documenti, dati e informazioni, nonché riportati i riferimenti normativi ed  esplicitata la riferibilità o meno al Consiglio regionale degli obblighi previsti, in considerazione delle sue competenze istituzionali. La tabella è sviluppata in proiezione triennale.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In attuazione di quanto prescritto dalla legge regionale 12/2015, dovranno inoltre essere pubblicate nell’apposita sezione del sito denominata “</w:t>
      </w:r>
      <w:r w:rsidRPr="007D1DFE">
        <w:rPr>
          <w:rFonts w:ascii="Times New Roman" w:eastAsia="Times New Roman" w:hAnsi="Times New Roman" w:cs="Times New Roman"/>
          <w:i/>
          <w:sz w:val="24"/>
          <w:szCs w:val="24"/>
          <w:lang w:eastAsia="it-IT"/>
        </w:rPr>
        <w:t>Anagrafe pubblica dei consiglieri regionali</w:t>
      </w: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sz w:val="24"/>
          <w:szCs w:val="24"/>
          <w:lang w:eastAsia="it-IT"/>
        </w:rPr>
        <w:lastRenderedPageBreak/>
        <w:t>per ciascun consigliere, ivi compreso il Presidente della Regione, le informazioni, i dati ed i documenti indicati al comma 3 della stessa legge, e che di seguito si richiamano:</w:t>
      </w:r>
    </w:p>
    <w:p w:rsidR="009903C3" w:rsidRPr="007D1DFE" w:rsidRDefault="009903C3" w:rsidP="007D1DFE">
      <w:pPr>
        <w:spacing w:line="240" w:lineRule="auto"/>
        <w:ind w:firstLine="708"/>
        <w:rPr>
          <w:rFonts w:ascii="Times New Roman" w:eastAsia="Times New Roman" w:hAnsi="Times New Roman" w:cs="Times New Roman"/>
          <w:sz w:val="24"/>
          <w:szCs w:val="24"/>
          <w:shd w:val="clear" w:color="auto" w:fill="FFFFFF"/>
          <w:lang w:eastAsia="it-IT"/>
        </w:rPr>
      </w:pPr>
      <w:r w:rsidRPr="007D1DFE">
        <w:rPr>
          <w:rFonts w:ascii="Verdana" w:eastAsia="Times New Roman" w:hAnsi="Verdana" w:cs="Times New Roman"/>
          <w:sz w:val="17"/>
          <w:szCs w:val="17"/>
          <w:lang w:eastAsia="it-IT"/>
        </w:rPr>
        <w:br/>
      </w:r>
      <w:r w:rsidRPr="007D1DFE">
        <w:rPr>
          <w:rFonts w:ascii="Times New Roman" w:eastAsia="Times New Roman" w:hAnsi="Times New Roman" w:cs="Times New Roman"/>
          <w:sz w:val="24"/>
          <w:szCs w:val="24"/>
          <w:shd w:val="clear" w:color="auto" w:fill="FFFFFF"/>
          <w:lang w:eastAsia="it-IT"/>
        </w:rPr>
        <w:t>a) copia della dichiarazione relativa a cariche ed incarichi per cui vige il divieto di cumulo di indennità o emolumenti, di cui all’articolo 4, comma 6, della legge regionale 4/2013;</w:t>
      </w:r>
      <w:r w:rsidRPr="007D1DFE">
        <w:rPr>
          <w:rFonts w:ascii="Times New Roman" w:eastAsia="Times New Roman" w:hAnsi="Times New Roman" w:cs="Times New Roman"/>
          <w:sz w:val="24"/>
          <w:szCs w:val="24"/>
          <w:lang w:eastAsia="it-IT"/>
        </w:rPr>
        <w:br/>
      </w:r>
      <w:r w:rsidRPr="007D1DFE">
        <w:rPr>
          <w:rFonts w:ascii="Times New Roman" w:eastAsia="Times New Roman" w:hAnsi="Times New Roman" w:cs="Times New Roman"/>
          <w:sz w:val="24"/>
          <w:szCs w:val="24"/>
          <w:shd w:val="clear" w:color="auto" w:fill="FFFFFF"/>
          <w:lang w:eastAsia="it-IT"/>
        </w:rPr>
        <w:t>b) copia della dichiarazione di cui all’articolo 4, comma 3, della legge 18 novembre 1981, n. 659, relativa agli eventuali contributi ricevuti;</w:t>
      </w:r>
      <w:r w:rsidRPr="007D1DFE">
        <w:rPr>
          <w:rFonts w:ascii="Times New Roman" w:eastAsia="Times New Roman" w:hAnsi="Times New Roman" w:cs="Times New Roman"/>
          <w:sz w:val="24"/>
          <w:szCs w:val="24"/>
          <w:lang w:eastAsia="it-IT"/>
        </w:rPr>
        <w:br/>
      </w:r>
      <w:r w:rsidRPr="007D1DFE">
        <w:rPr>
          <w:rFonts w:ascii="Times New Roman" w:eastAsia="Times New Roman" w:hAnsi="Times New Roman" w:cs="Times New Roman"/>
          <w:sz w:val="24"/>
          <w:szCs w:val="24"/>
          <w:shd w:val="clear" w:color="auto" w:fill="FFFFFF"/>
          <w:lang w:eastAsia="it-IT"/>
        </w:rPr>
        <w:t>c) lista di elezione e gruppo consiliare di appartenenza;</w:t>
      </w:r>
      <w:r w:rsidRPr="007D1DFE">
        <w:rPr>
          <w:rFonts w:ascii="Times New Roman" w:eastAsia="Times New Roman" w:hAnsi="Times New Roman" w:cs="Times New Roman"/>
          <w:sz w:val="24"/>
          <w:szCs w:val="24"/>
          <w:lang w:eastAsia="it-IT"/>
        </w:rPr>
        <w:br/>
      </w:r>
      <w:r w:rsidRPr="007D1DFE">
        <w:rPr>
          <w:rFonts w:ascii="Times New Roman" w:eastAsia="Times New Roman" w:hAnsi="Times New Roman" w:cs="Times New Roman"/>
          <w:sz w:val="24"/>
          <w:szCs w:val="24"/>
          <w:shd w:val="clear" w:color="auto" w:fill="FFFFFF"/>
          <w:lang w:eastAsia="it-IT"/>
        </w:rPr>
        <w:t>d) elenco delle proposte di legge e di deliberazione consiliare, degli atti di indirizzo e di sindacato ispettivo, presentati e sottoscritti;</w:t>
      </w:r>
      <w:r w:rsidRPr="007D1DFE">
        <w:rPr>
          <w:rFonts w:ascii="Times New Roman" w:eastAsia="Times New Roman" w:hAnsi="Times New Roman" w:cs="Times New Roman"/>
          <w:sz w:val="24"/>
          <w:szCs w:val="24"/>
          <w:lang w:eastAsia="it-IT"/>
        </w:rPr>
        <w:br/>
      </w:r>
      <w:r w:rsidRPr="007D1DFE">
        <w:rPr>
          <w:rFonts w:ascii="Times New Roman" w:eastAsia="Times New Roman" w:hAnsi="Times New Roman" w:cs="Times New Roman"/>
          <w:sz w:val="24"/>
          <w:szCs w:val="24"/>
          <w:shd w:val="clear" w:color="auto" w:fill="FFFFFF"/>
          <w:lang w:eastAsia="it-IT"/>
        </w:rPr>
        <w:t xml:space="preserve">e) quadro delle presenze alle sedute del Consiglio regionale e delle commissioni consiliari, con indicazione dei soggetti sanzionati ai sensi dell’articolo 1, comma 9, della </w:t>
      </w:r>
      <w:proofErr w:type="spellStart"/>
      <w:r w:rsidRPr="007D1DFE">
        <w:rPr>
          <w:rFonts w:ascii="Times New Roman" w:eastAsia="Times New Roman" w:hAnsi="Times New Roman" w:cs="Times New Roman"/>
          <w:sz w:val="24"/>
          <w:szCs w:val="24"/>
          <w:shd w:val="clear" w:color="auto" w:fill="FFFFFF"/>
          <w:lang w:eastAsia="it-IT"/>
        </w:rPr>
        <w:t>l.r</w:t>
      </w:r>
      <w:proofErr w:type="spellEnd"/>
      <w:r w:rsidRPr="007D1DFE">
        <w:rPr>
          <w:rFonts w:ascii="Times New Roman" w:eastAsia="Times New Roman" w:hAnsi="Times New Roman" w:cs="Times New Roman"/>
          <w:sz w:val="24"/>
          <w:szCs w:val="24"/>
          <w:shd w:val="clear" w:color="auto" w:fill="FFFFFF"/>
          <w:lang w:eastAsia="it-IT"/>
        </w:rPr>
        <w:t>. 4/2013;</w:t>
      </w:r>
      <w:r w:rsidRPr="007D1DFE">
        <w:rPr>
          <w:rFonts w:ascii="Times New Roman" w:eastAsia="Times New Roman" w:hAnsi="Times New Roman" w:cs="Times New Roman"/>
          <w:sz w:val="24"/>
          <w:szCs w:val="24"/>
          <w:lang w:eastAsia="it-IT"/>
        </w:rPr>
        <w:br/>
      </w:r>
      <w:r w:rsidRPr="007D1DFE">
        <w:rPr>
          <w:rFonts w:ascii="Times New Roman" w:eastAsia="Times New Roman" w:hAnsi="Times New Roman" w:cs="Times New Roman"/>
          <w:sz w:val="24"/>
          <w:szCs w:val="24"/>
          <w:shd w:val="clear" w:color="auto" w:fill="FFFFFF"/>
          <w:lang w:eastAsia="it-IT"/>
        </w:rPr>
        <w:t>f) voti espressi in Aula mediante votazione nominale.</w:t>
      </w:r>
    </w:p>
    <w:p w:rsidR="00390008"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 conformità a quanto stabilito dall’art. 10, c. 1, del testo novellato del d.lgs. 33/2013, l’Allegato </w:t>
      </w:r>
      <w:r w:rsidR="00695698" w:rsidRPr="007D1DFE">
        <w:rPr>
          <w:rFonts w:ascii="Times New Roman" w:eastAsia="Times New Roman" w:hAnsi="Times New Roman" w:cs="Times New Roman"/>
          <w:sz w:val="24"/>
          <w:szCs w:val="24"/>
          <w:lang w:eastAsia="it-IT"/>
        </w:rPr>
        <w:t>5</w:t>
      </w:r>
      <w:r w:rsidRPr="007D1DFE">
        <w:rPr>
          <w:rFonts w:ascii="Times New Roman" w:eastAsia="Times New Roman" w:hAnsi="Times New Roman" w:cs="Times New Roman"/>
          <w:sz w:val="24"/>
          <w:szCs w:val="24"/>
          <w:lang w:eastAsia="it-IT"/>
        </w:rPr>
        <w:t xml:space="preserve"> consente poi di individuare i soggett</w:t>
      </w:r>
      <w:r w:rsidR="00D8719A" w:rsidRPr="007D1DFE">
        <w:rPr>
          <w:rFonts w:ascii="Times New Roman" w:eastAsia="Times New Roman" w:hAnsi="Times New Roman" w:cs="Times New Roman"/>
          <w:sz w:val="24"/>
          <w:szCs w:val="24"/>
          <w:lang w:eastAsia="it-IT"/>
        </w:rPr>
        <w:t>i</w:t>
      </w:r>
      <w:r w:rsidRPr="007D1DFE">
        <w:rPr>
          <w:rFonts w:ascii="Times New Roman" w:eastAsia="Times New Roman" w:hAnsi="Times New Roman" w:cs="Times New Roman"/>
          <w:sz w:val="24"/>
          <w:szCs w:val="24"/>
          <w:lang w:eastAsia="it-IT"/>
        </w:rPr>
        <w:t xml:space="preserve"> responsabil</w:t>
      </w:r>
      <w:r w:rsidR="00D8719A" w:rsidRPr="007D1DFE">
        <w:rPr>
          <w:rFonts w:ascii="Times New Roman" w:eastAsia="Times New Roman" w:hAnsi="Times New Roman" w:cs="Times New Roman"/>
          <w:sz w:val="24"/>
          <w:szCs w:val="24"/>
          <w:lang w:eastAsia="it-IT"/>
        </w:rPr>
        <w:t>i</w:t>
      </w:r>
      <w:r w:rsidRPr="007D1DFE">
        <w:rPr>
          <w:rFonts w:ascii="Times New Roman" w:eastAsia="Times New Roman" w:hAnsi="Times New Roman" w:cs="Times New Roman"/>
          <w:sz w:val="24"/>
          <w:szCs w:val="24"/>
          <w:lang w:eastAsia="it-IT"/>
        </w:rPr>
        <w:t xml:space="preserve"> per la trasmissione del documento, dato o informazione per il quale esiste uno specifico obbligo di pubblicazione</w:t>
      </w:r>
      <w:r w:rsidR="006F4529" w:rsidRPr="007D1DFE">
        <w:rPr>
          <w:rFonts w:ascii="Times New Roman" w:eastAsia="Times New Roman" w:hAnsi="Times New Roman" w:cs="Times New Roman"/>
          <w:sz w:val="24"/>
          <w:szCs w:val="24"/>
          <w:lang w:eastAsia="it-IT"/>
        </w:rPr>
        <w:t>. Il responsabile della  trasmissione è generalmente individuato nel dirigente responsabile della struttura a</w:t>
      </w:r>
      <w:r w:rsidRPr="007D1DFE">
        <w:rPr>
          <w:rFonts w:ascii="Times New Roman" w:eastAsia="Times New Roman" w:hAnsi="Times New Roman" w:cs="Times New Roman"/>
          <w:sz w:val="24"/>
          <w:szCs w:val="24"/>
          <w:lang w:eastAsia="it-IT"/>
        </w:rPr>
        <w:t xml:space="preserve">mministrativa che ha formato o detiene il documento, dato o informazione </w:t>
      </w:r>
      <w:r w:rsidRPr="007D1DFE">
        <w:rPr>
          <w:rFonts w:ascii="Times New Roman" w:eastAsia="Times New Roman" w:hAnsi="Times New Roman" w:cs="Times New Roman"/>
          <w:sz w:val="24"/>
          <w:szCs w:val="24"/>
          <w:vertAlign w:val="superscript"/>
          <w:lang w:eastAsia="it-IT"/>
        </w:rPr>
        <w:footnoteReference w:id="58"/>
      </w:r>
      <w:r w:rsidRPr="007D1DFE">
        <w:rPr>
          <w:rFonts w:ascii="Times New Roman" w:eastAsia="Times New Roman" w:hAnsi="Times New Roman" w:cs="Times New Roman"/>
          <w:sz w:val="24"/>
          <w:szCs w:val="24"/>
          <w:lang w:eastAsia="it-IT"/>
        </w:rPr>
        <w:t>. Il dirigente è quindi responsabile della completezza, della veridicità, della tempestività, e dell’aggiornamento dei dati e informazioni oggetto di pubblicazione obbligatoria.</w:t>
      </w:r>
      <w:r w:rsidR="00390008" w:rsidRPr="007D1DFE">
        <w:rPr>
          <w:rFonts w:ascii="Times New Roman" w:eastAsia="Times New Roman" w:hAnsi="Times New Roman" w:cs="Times New Roman"/>
          <w:sz w:val="24"/>
          <w:szCs w:val="24"/>
          <w:lang w:eastAsia="it-IT"/>
        </w:rPr>
        <w:t xml:space="preserve"> Inoltre, in base al richiamato organigramma privacy, il dirigente che richiede la pubblicazione di atti o informazioni che contengano dati personali, in quanto delegato al trattamento di quei dati, è tenuto </w:t>
      </w:r>
      <w:r w:rsidR="00861643" w:rsidRPr="007D1DFE">
        <w:rPr>
          <w:rFonts w:ascii="Times New Roman" w:eastAsia="Times New Roman" w:hAnsi="Times New Roman" w:cs="Times New Roman"/>
          <w:sz w:val="24"/>
          <w:szCs w:val="24"/>
          <w:lang w:eastAsia="it-IT"/>
        </w:rPr>
        <w:t xml:space="preserve">anche </w:t>
      </w:r>
      <w:r w:rsidR="00390008" w:rsidRPr="007D1DFE">
        <w:rPr>
          <w:rFonts w:ascii="Times New Roman" w:eastAsia="Times New Roman" w:hAnsi="Times New Roman" w:cs="Times New Roman"/>
          <w:sz w:val="24"/>
          <w:szCs w:val="24"/>
          <w:lang w:eastAsia="it-IT"/>
        </w:rPr>
        <w:t>alla tutela degli stessi.</w:t>
      </w:r>
    </w:p>
    <w:p w:rsidR="00E648FA" w:rsidRPr="007D1DFE" w:rsidRDefault="006F4529"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Il responsabile della pubblicazione </w:t>
      </w:r>
      <w:r w:rsidR="00D8719A" w:rsidRPr="007D1DFE">
        <w:rPr>
          <w:rFonts w:ascii="Times New Roman" w:eastAsia="Times New Roman" w:hAnsi="Times New Roman" w:cs="Times New Roman"/>
          <w:sz w:val="24"/>
          <w:szCs w:val="24"/>
          <w:lang w:eastAsia="it-IT"/>
        </w:rPr>
        <w:t xml:space="preserve">– ossia del data entry – di quanto pervenuto dal responsabile della trasmissione </w:t>
      </w:r>
      <w:r w:rsidR="00374EA8" w:rsidRPr="007D1DFE">
        <w:rPr>
          <w:rFonts w:ascii="Times New Roman" w:eastAsia="Times New Roman" w:hAnsi="Times New Roman" w:cs="Times New Roman"/>
          <w:sz w:val="24"/>
          <w:szCs w:val="24"/>
          <w:lang w:eastAsia="it-IT"/>
        </w:rPr>
        <w:t xml:space="preserve">è generalmente individuato nel dirigente-responsabile della struttura amministrativa </w:t>
      </w:r>
      <w:r w:rsidR="00E648FA" w:rsidRPr="007D1DFE">
        <w:rPr>
          <w:rFonts w:ascii="Times New Roman" w:eastAsia="Times New Roman" w:hAnsi="Times New Roman" w:cs="Times New Roman"/>
          <w:sz w:val="24"/>
          <w:szCs w:val="24"/>
          <w:lang w:eastAsia="it-IT"/>
        </w:rPr>
        <w:t>“</w:t>
      </w:r>
      <w:r w:rsidR="00E648FA" w:rsidRPr="007D1DFE">
        <w:rPr>
          <w:rFonts w:ascii="Times New Roman" w:eastAsia="Times New Roman" w:hAnsi="Times New Roman" w:cs="Times New Roman"/>
          <w:i/>
          <w:sz w:val="24"/>
          <w:szCs w:val="24"/>
          <w:lang w:eastAsia="it-IT"/>
        </w:rPr>
        <w:t>Ufficio banche dati, pubblicazioni, trattamento dei dati personali</w:t>
      </w:r>
      <w:r w:rsidR="00E648FA" w:rsidRPr="007D1DFE">
        <w:rPr>
          <w:rFonts w:ascii="Times New Roman" w:eastAsia="Times New Roman" w:hAnsi="Times New Roman" w:cs="Times New Roman"/>
          <w:sz w:val="24"/>
          <w:szCs w:val="24"/>
          <w:lang w:eastAsia="it-IT"/>
        </w:rPr>
        <w:t xml:space="preserve">”, </w:t>
      </w:r>
      <w:r w:rsidR="00676493" w:rsidRPr="007D1DFE">
        <w:rPr>
          <w:rFonts w:ascii="Times New Roman" w:eastAsia="Times New Roman" w:hAnsi="Times New Roman" w:cs="Times New Roman"/>
          <w:sz w:val="24"/>
          <w:szCs w:val="24"/>
          <w:lang w:eastAsia="it-IT"/>
        </w:rPr>
        <w:t>ad eccezione</w:t>
      </w:r>
      <w:r w:rsidR="00E648FA" w:rsidRPr="007D1DFE">
        <w:rPr>
          <w:rFonts w:ascii="Times New Roman" w:eastAsia="Times New Roman" w:hAnsi="Times New Roman" w:cs="Times New Roman"/>
          <w:sz w:val="24"/>
          <w:szCs w:val="24"/>
          <w:lang w:eastAsia="it-IT"/>
        </w:rPr>
        <w:t xml:space="preserve"> per la pubblicazione:</w:t>
      </w:r>
    </w:p>
    <w:p w:rsidR="00676493" w:rsidRPr="007D1DFE" w:rsidRDefault="00676493" w:rsidP="007D1DFE">
      <w:pPr>
        <w:pStyle w:val="Paragrafoelenco"/>
        <w:numPr>
          <w:ilvl w:val="0"/>
          <w:numId w:val="16"/>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w:t>
      </w:r>
      <w:r w:rsidR="00E648FA" w:rsidRPr="007D1DFE">
        <w:rPr>
          <w:rFonts w:ascii="Times New Roman" w:eastAsia="Times New Roman" w:hAnsi="Times New Roman" w:cs="Times New Roman"/>
          <w:sz w:val="24"/>
          <w:szCs w:val="24"/>
          <w:lang w:eastAsia="it-IT"/>
        </w:rPr>
        <w:t>ei testi ufficiali dello S</w:t>
      </w:r>
      <w:r w:rsidRPr="007D1DFE">
        <w:rPr>
          <w:rFonts w:ascii="Times New Roman" w:eastAsia="Times New Roman" w:hAnsi="Times New Roman" w:cs="Times New Roman"/>
          <w:sz w:val="24"/>
          <w:szCs w:val="24"/>
          <w:lang w:eastAsia="it-IT"/>
        </w:rPr>
        <w:t xml:space="preserve">tatuto e delle leggi regionali (responsabile </w:t>
      </w:r>
      <w:r w:rsidR="0072290E" w:rsidRPr="007D1DFE">
        <w:rPr>
          <w:rFonts w:ascii="Times New Roman" w:eastAsia="Times New Roman" w:hAnsi="Times New Roman" w:cs="Times New Roman"/>
          <w:sz w:val="24"/>
          <w:szCs w:val="24"/>
          <w:lang w:eastAsia="it-IT"/>
        </w:rPr>
        <w:t>della Struttura preposta all’implementazione delle Banche dati normative)</w:t>
      </w:r>
    </w:p>
    <w:p w:rsidR="00676493" w:rsidRPr="007D1DFE" w:rsidRDefault="00676493" w:rsidP="007D1DFE">
      <w:pPr>
        <w:pStyle w:val="Paragrafoelenco"/>
        <w:numPr>
          <w:ilvl w:val="0"/>
          <w:numId w:val="16"/>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delle deliberazioni dell’Ufficio di presidenza (responsabile </w:t>
      </w:r>
      <w:r w:rsidR="0072290E" w:rsidRPr="007D1DFE">
        <w:rPr>
          <w:rFonts w:ascii="Times New Roman" w:eastAsia="Times New Roman" w:hAnsi="Times New Roman" w:cs="Times New Roman"/>
          <w:sz w:val="24"/>
          <w:szCs w:val="24"/>
          <w:lang w:eastAsia="it-IT"/>
        </w:rPr>
        <w:t>Ufficio</w:t>
      </w:r>
      <w:r w:rsidRPr="007D1DFE">
        <w:rPr>
          <w:rFonts w:ascii="Times New Roman" w:eastAsia="Times New Roman" w:hAnsi="Times New Roman" w:cs="Times New Roman"/>
          <w:sz w:val="24"/>
          <w:szCs w:val="24"/>
          <w:lang w:eastAsia="it-IT"/>
        </w:rPr>
        <w:t xml:space="preserve"> “Lavori Ufficio di presidenza);</w:t>
      </w:r>
    </w:p>
    <w:p w:rsidR="00676493" w:rsidRPr="007D1DFE" w:rsidRDefault="00676493" w:rsidP="007D1DFE">
      <w:pPr>
        <w:pStyle w:val="Paragrafoelenco"/>
        <w:numPr>
          <w:ilvl w:val="0"/>
          <w:numId w:val="16"/>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della banca dati delle sovvenzioni e dei contributi (responsabile Ufficio “</w:t>
      </w:r>
      <w:r w:rsidR="0072290E" w:rsidRPr="007D1DFE">
        <w:rPr>
          <w:rFonts w:ascii="Times New Roman" w:eastAsia="Times New Roman" w:hAnsi="Times New Roman" w:cs="Times New Roman"/>
          <w:sz w:val="24"/>
          <w:szCs w:val="24"/>
          <w:lang w:eastAsia="it-IT"/>
        </w:rPr>
        <w:t xml:space="preserve">Cerimoniale, Eventi e </w:t>
      </w:r>
      <w:r w:rsidRPr="007D1DFE">
        <w:rPr>
          <w:rFonts w:ascii="Times New Roman" w:eastAsia="Times New Roman" w:hAnsi="Times New Roman" w:cs="Times New Roman"/>
          <w:sz w:val="24"/>
          <w:szCs w:val="24"/>
          <w:lang w:eastAsia="it-IT"/>
        </w:rPr>
        <w:t xml:space="preserve"> Contributi”); </w:t>
      </w:r>
    </w:p>
    <w:p w:rsidR="009903C3" w:rsidRPr="007D1DFE" w:rsidRDefault="00676493" w:rsidP="007D1DFE">
      <w:pPr>
        <w:pStyle w:val="Paragrafoelenco"/>
        <w:numPr>
          <w:ilvl w:val="0"/>
          <w:numId w:val="16"/>
        </w:numPr>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dei documenti, dati e informazioni relativi alle sottosezioni “Bilanci” e “Pagamenti dell’Amministrazione” (responsabile </w:t>
      </w:r>
      <w:r w:rsidR="0072290E" w:rsidRPr="007D1DFE">
        <w:rPr>
          <w:rFonts w:ascii="Times New Roman" w:eastAsia="Times New Roman" w:hAnsi="Times New Roman" w:cs="Times New Roman"/>
          <w:sz w:val="24"/>
          <w:szCs w:val="24"/>
          <w:lang w:eastAsia="it-IT"/>
        </w:rPr>
        <w:t>area</w:t>
      </w:r>
      <w:r w:rsidRPr="007D1DFE">
        <w:rPr>
          <w:rFonts w:ascii="Times New Roman" w:eastAsia="Times New Roman" w:hAnsi="Times New Roman" w:cs="Times New Roman"/>
          <w:sz w:val="24"/>
          <w:szCs w:val="24"/>
          <w:lang w:eastAsia="it-IT"/>
        </w:rPr>
        <w:t xml:space="preserve"> “Bilancio, Ragioneria).</w:t>
      </w:r>
      <w:r w:rsidR="00E648FA"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Per alcune tipologie di documenti, dati ed informazioni (ad es. quelli riferiti ai Consiglieri regionali, ai sensi dell’art. 14 del d.lgs. 33 e ss.mm.) </w:t>
      </w:r>
      <w:r w:rsidR="00E23D6A" w:rsidRPr="007D1DFE">
        <w:rPr>
          <w:rFonts w:ascii="Times New Roman" w:eastAsia="Times New Roman" w:hAnsi="Times New Roman" w:cs="Times New Roman"/>
          <w:sz w:val="24"/>
          <w:szCs w:val="24"/>
          <w:lang w:eastAsia="it-IT"/>
        </w:rPr>
        <w:t xml:space="preserve">questi evidentemente dovranno essere inviati dal Consigliere </w:t>
      </w:r>
      <w:r w:rsidR="00120E5C" w:rsidRPr="007D1DFE">
        <w:rPr>
          <w:rFonts w:ascii="Times New Roman" w:eastAsia="Times New Roman" w:hAnsi="Times New Roman" w:cs="Times New Roman"/>
          <w:sz w:val="24"/>
          <w:szCs w:val="24"/>
          <w:lang w:eastAsia="it-IT"/>
        </w:rPr>
        <w:t xml:space="preserve">regionale </w:t>
      </w:r>
      <w:r w:rsidR="00E23D6A" w:rsidRPr="007D1DFE">
        <w:rPr>
          <w:rFonts w:ascii="Times New Roman" w:eastAsia="Times New Roman" w:hAnsi="Times New Roman" w:cs="Times New Roman"/>
          <w:sz w:val="24"/>
          <w:szCs w:val="24"/>
          <w:lang w:eastAsia="it-IT"/>
        </w:rPr>
        <w:t xml:space="preserve">al </w:t>
      </w:r>
      <w:r w:rsidRPr="007D1DFE">
        <w:rPr>
          <w:rFonts w:ascii="Times New Roman" w:eastAsia="Times New Roman" w:hAnsi="Times New Roman" w:cs="Times New Roman"/>
          <w:sz w:val="24"/>
          <w:szCs w:val="24"/>
          <w:lang w:eastAsia="it-IT"/>
        </w:rPr>
        <w:t>responsabile della trasmissione</w:t>
      </w:r>
      <w:r w:rsidR="00E23D6A" w:rsidRPr="007D1DFE">
        <w:rPr>
          <w:rFonts w:ascii="Times New Roman" w:eastAsia="Times New Roman" w:hAnsi="Times New Roman" w:cs="Times New Roman"/>
          <w:sz w:val="24"/>
          <w:szCs w:val="24"/>
          <w:lang w:eastAsia="it-IT"/>
        </w:rPr>
        <w:t>, il quale dovrà poi provvedere a trasmettere il dato, il documento o l’informazione al soggetto incaricato del</w:t>
      </w:r>
      <w:r w:rsidR="00424B80" w:rsidRPr="007D1DFE">
        <w:rPr>
          <w:rFonts w:ascii="Times New Roman" w:eastAsia="Times New Roman" w:hAnsi="Times New Roman" w:cs="Times New Roman"/>
          <w:sz w:val="24"/>
          <w:szCs w:val="24"/>
          <w:lang w:eastAsia="it-IT"/>
        </w:rPr>
        <w:t xml:space="preserve"> </w:t>
      </w:r>
      <w:r w:rsidR="00E23D6A" w:rsidRPr="007D1DFE">
        <w:rPr>
          <w:rFonts w:ascii="Times New Roman" w:eastAsia="Times New Roman" w:hAnsi="Times New Roman" w:cs="Times New Roman"/>
          <w:sz w:val="24"/>
          <w:szCs w:val="24"/>
          <w:lang w:eastAsia="it-IT"/>
        </w:rPr>
        <w:t>data entry.</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708"/>
        <w:rPr>
          <w:rFonts w:ascii="Times New Roman" w:eastAsia="Times New Roman" w:hAnsi="Times New Roman" w:cs="Times New Roman"/>
          <w:sz w:val="24"/>
          <w:szCs w:val="24"/>
          <w:shd w:val="clear" w:color="auto" w:fill="FFFFFF"/>
          <w:lang w:eastAsia="it-IT"/>
        </w:rPr>
      </w:pPr>
    </w:p>
    <w:p w:rsidR="009903C3" w:rsidRPr="007D1DFE" w:rsidRDefault="009903C3" w:rsidP="007D1DFE">
      <w:pPr>
        <w:spacing w:line="240" w:lineRule="auto"/>
        <w:ind w:firstLine="708"/>
        <w:rPr>
          <w:rFonts w:ascii="Times New Roman" w:eastAsia="Times New Roman" w:hAnsi="Times New Roman" w:cs="Times New Roman"/>
          <w:sz w:val="24"/>
          <w:szCs w:val="24"/>
          <w:shd w:val="clear" w:color="auto" w:fill="FFFFFF"/>
          <w:lang w:eastAsia="it-IT"/>
        </w:rPr>
      </w:pPr>
    </w:p>
    <w:p w:rsidR="009903C3" w:rsidRPr="007D1DFE" w:rsidRDefault="009903C3" w:rsidP="007D1DFE">
      <w:pPr>
        <w:numPr>
          <w:ilvl w:val="1"/>
          <w:numId w:val="21"/>
        </w:numPr>
        <w:autoSpaceDE w:val="0"/>
        <w:autoSpaceDN w:val="0"/>
        <w:adjustRightInd w:val="0"/>
        <w:spacing w:line="240" w:lineRule="auto"/>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bCs/>
          <w:sz w:val="24"/>
          <w:szCs w:val="24"/>
          <w:lang w:eastAsia="it-IT"/>
        </w:rPr>
        <w:t xml:space="preserve"> Limiti alla trasparenza. </w:t>
      </w:r>
      <w:bookmarkStart w:id="2" w:name="_Hlk532762176"/>
    </w:p>
    <w:p w:rsidR="00A07BE8"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Gli adempimenti di pubblicazione sono in ogni caso soggetti al rispetto dell’art. 7 bis del d.lgs. 33/2013 e ss.mm.</w:t>
      </w:r>
    </w:p>
    <w:p w:rsidR="005A5BAE" w:rsidRPr="007D1DFE" w:rsidRDefault="005A5BAE"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Per espressa disposizione dell’art. 1 comma 2 del d.lgs. 19 agosto 2018 n, 101 le espressioni «dati sensibili» e «dati giudiziari» utilizzate ai sensi dell'articolo 4, comma 1, lettere d) ed e), del codice in materia di protezione dei dati personali, di cui al decreto legislativo n. 196 del 2003, </w:t>
      </w:r>
      <w:r w:rsidRPr="007D1DFE">
        <w:rPr>
          <w:rFonts w:ascii="Times New Roman" w:eastAsia="Times New Roman" w:hAnsi="Times New Roman" w:cs="Times New Roman"/>
          <w:sz w:val="24"/>
          <w:szCs w:val="24"/>
          <w:lang w:eastAsia="it-IT"/>
        </w:rPr>
        <w:lastRenderedPageBreak/>
        <w:t xml:space="preserve">ovunque ricorrano, si intendono riferite, rispettivamente, alle categorie particolari di dati di cui all'articolo 9 del Regolamento (UE) 2016/679 e ai dati di cui all'articolo 10 del medesimo regolamento. </w:t>
      </w:r>
    </w:p>
    <w:p w:rsidR="009903C3" w:rsidRPr="007D1DFE" w:rsidRDefault="005A5BAE"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Inoltre ai sensi, rispettivamente dei commi 6 e 4 del richiamato </w:t>
      </w:r>
      <w:proofErr w:type="spellStart"/>
      <w:r w:rsidRPr="007D1DFE">
        <w:rPr>
          <w:rFonts w:ascii="Times New Roman" w:eastAsia="Times New Roman" w:hAnsi="Times New Roman" w:cs="Times New Roman"/>
          <w:sz w:val="24"/>
          <w:szCs w:val="24"/>
          <w:lang w:eastAsia="it-IT"/>
        </w:rPr>
        <w:t>d.lgs</w:t>
      </w:r>
      <w:proofErr w:type="spellEnd"/>
      <w:r w:rsidRPr="007D1DFE">
        <w:rPr>
          <w:rFonts w:ascii="Times New Roman" w:eastAsia="Times New Roman" w:hAnsi="Times New Roman" w:cs="Times New Roman"/>
          <w:sz w:val="24"/>
          <w:szCs w:val="24"/>
          <w:lang w:eastAsia="it-IT"/>
        </w:rPr>
        <w:t xml:space="preserve"> 101/2018  “ </w:t>
      </w:r>
      <w:r w:rsidRPr="007D1DFE">
        <w:rPr>
          <w:rFonts w:ascii="Times New Roman" w:eastAsia="Times New Roman" w:hAnsi="Times New Roman" w:cs="Times New Roman"/>
          <w:i/>
          <w:sz w:val="24"/>
          <w:szCs w:val="24"/>
          <w:lang w:eastAsia="it-IT"/>
        </w:rPr>
        <w:t>i rinvii alle disposizioni del codice in materia di protezione dei dati personali, di cui al decreto legislativo n. 196 del 2003, abrogate dal presente decreto, contenuti in norme di legge e di regolamento, si intendono riferiti alle corrispondenti disposizioni del Regolamento (UE) 2016/679 e a quelle introdotte o modificate dal presente decreto, in quanto compatibili</w:t>
      </w:r>
      <w:r w:rsidRPr="007D1DFE">
        <w:rPr>
          <w:rFonts w:ascii="Times New Roman" w:eastAsia="Times New Roman" w:hAnsi="Times New Roman" w:cs="Times New Roman"/>
          <w:sz w:val="24"/>
          <w:szCs w:val="24"/>
          <w:lang w:eastAsia="it-IT"/>
        </w:rPr>
        <w:t>” e i .provvedimenti del Garante per la protezione dei dati personali continuano ad applicarsi, del pari, in quanto compatibili con la richiamata normativa</w:t>
      </w:r>
      <w:bookmarkEnd w:id="2"/>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In proposito si ricorda che l’Autorità garante per la protezione dei dati personali ha adottato con deliberazione del 15 maggio 2014 apposite “</w:t>
      </w:r>
      <w:r w:rsidRPr="007D1DFE">
        <w:rPr>
          <w:rFonts w:ascii="Times New Roman" w:eastAsia="Times New Roman" w:hAnsi="Times New Roman" w:cs="Times New Roman"/>
          <w:i/>
          <w:sz w:val="24"/>
          <w:szCs w:val="24"/>
          <w:lang w:eastAsia="it-IT"/>
        </w:rPr>
        <w:t>Linee guida in materia di trattamento di dati personali, contenuti anche in atti e documenti amministrativi, effettuato per finalità di pubblicità e trasparenza sul web da soggetti pubblici e da altri enti obbligati</w:t>
      </w:r>
      <w:r w:rsidRPr="007D1DFE">
        <w:rPr>
          <w:rFonts w:ascii="Times New Roman" w:eastAsia="Times New Roman" w:hAnsi="Times New Roman" w:cs="Times New Roman"/>
          <w:sz w:val="24"/>
          <w:szCs w:val="24"/>
          <w:lang w:eastAsia="it-IT"/>
        </w:rPr>
        <w:t xml:space="preserve"> ” </w:t>
      </w:r>
      <w:r w:rsidRPr="007D1DFE">
        <w:rPr>
          <w:rFonts w:ascii="Times New Roman" w:eastAsia="Times New Roman" w:hAnsi="Times New Roman" w:cs="Times New Roman"/>
          <w:sz w:val="24"/>
          <w:szCs w:val="24"/>
          <w:vertAlign w:val="superscript"/>
          <w:lang w:eastAsia="it-IT"/>
        </w:rPr>
        <w:footnoteReference w:id="59"/>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ind w:firstLine="708"/>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Secondo l’Autorità, laddove sussista per l’Amministrazione un obbligo, derivante da legge o da regolamento, di pubblicare un atto o un documento sul sito istituzionale, è necessario verificare, caso per caso, se i dati e le informazioni personali eventualmente presenti in tali atti o documenti debbano o meno essere oscurati, in considerazione del fatto che le </w:t>
      </w:r>
      <w:r w:rsidR="00A458E0" w:rsidRPr="007D1DFE">
        <w:rPr>
          <w:rFonts w:ascii="Times New Roman" w:eastAsia="Times New Roman" w:hAnsi="Times New Roman" w:cs="Times New Roman"/>
          <w:sz w:val="24"/>
          <w:szCs w:val="24"/>
          <w:lang w:eastAsia="it-IT"/>
        </w:rPr>
        <w:t>PA</w:t>
      </w:r>
      <w:r w:rsidRPr="007D1DFE">
        <w:rPr>
          <w:rFonts w:ascii="Times New Roman" w:eastAsia="Times New Roman" w:hAnsi="Times New Roman" w:cs="Times New Roman"/>
          <w:sz w:val="24"/>
          <w:szCs w:val="24"/>
          <w:lang w:eastAsia="it-IT"/>
        </w:rPr>
        <w:t xml:space="preserve"> sono tenute ad  evitare la pubblicazione di dati personali ove sia possibile perseguire le finalità di trasparenza mediante dati anonimi o altre modalità che permettano di identificare l’interessato solo in caso di necessità (c.d. “</w:t>
      </w:r>
      <w:r w:rsidRPr="007D1DFE">
        <w:rPr>
          <w:rFonts w:ascii="Times New Roman" w:eastAsia="Times New Roman" w:hAnsi="Times New Roman" w:cs="Times New Roman"/>
          <w:i/>
          <w:sz w:val="24"/>
          <w:szCs w:val="24"/>
          <w:lang w:eastAsia="it-IT"/>
        </w:rPr>
        <w:t>principio di necessità</w:t>
      </w:r>
      <w:r w:rsidRPr="007D1DFE">
        <w:rPr>
          <w:rFonts w:ascii="Times New Roman" w:eastAsia="Times New Roman" w:hAnsi="Times New Roman" w:cs="Times New Roman"/>
          <w:sz w:val="24"/>
          <w:szCs w:val="24"/>
          <w:lang w:eastAsia="it-IT"/>
        </w:rPr>
        <w:t xml:space="preserve">” ex art. 3, d.lgs. n. 196/2003). </w:t>
      </w:r>
    </w:p>
    <w:p w:rsidR="009903C3" w:rsidRPr="007D1DFE" w:rsidRDefault="009903C3" w:rsidP="007D1DFE">
      <w:pPr>
        <w:spacing w:line="240" w:lineRule="auto"/>
        <w:ind w:firstLine="708"/>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 diffusione di dati personali è, in sostanza, consentita solo se questi ultimi siano pertinenti e non eccedenti rispetto alle finalità per le quali sono raccolti e successivamente trattati (“cd. principio di pertinenza e non eccedenza”, ex art. 11, comma 1, </w:t>
      </w:r>
      <w:proofErr w:type="spellStart"/>
      <w:r w:rsidRPr="007D1DFE">
        <w:rPr>
          <w:rFonts w:ascii="Times New Roman" w:eastAsia="Times New Roman" w:hAnsi="Times New Roman" w:cs="Times New Roman"/>
          <w:sz w:val="24"/>
          <w:szCs w:val="24"/>
          <w:lang w:eastAsia="it-IT"/>
        </w:rPr>
        <w:t>lett</w:t>
      </w:r>
      <w:proofErr w:type="spellEnd"/>
      <w:r w:rsidRPr="007D1DFE">
        <w:rPr>
          <w:rFonts w:ascii="Times New Roman" w:eastAsia="Times New Roman" w:hAnsi="Times New Roman" w:cs="Times New Roman"/>
          <w:sz w:val="24"/>
          <w:szCs w:val="24"/>
          <w:lang w:eastAsia="it-IT"/>
        </w:rPr>
        <w:t>. d), d.lgs. n. 196/2003).</w:t>
      </w:r>
    </w:p>
    <w:p w:rsidR="009903C3" w:rsidRPr="007D1DFE" w:rsidRDefault="009903C3" w:rsidP="007D1DFE">
      <w:pPr>
        <w:spacing w:line="240" w:lineRule="auto"/>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            Sussiste poi un divieto assoluto di diffusione di dati sensibili idonei a rivelare lo stato di salute o la vita sessuale (art. 22, comma 8, d.lgs. n. 196/2003 e art. 4, comma 6, d.lgs. n. 33/2013) mentre i dati sensibili idonei a rivelare l’origine razziale ed etnica, le convinzioni religiose, filosofiche o di altro genere, le opinioni politiche, l’adesione a partiti, sindacati, associazioni o organizzazioni a carattere religioso, filosofico, politico o sindacale ed i dati giudiziari idonei a rivelare provvedimenti in materia di casellario giudiziale, di anagrafe delle sanzioni amministrative dipendenti da reato e dei relativi carichi pendenti, o la qualità di imputato o indagato (art. 4, comma 1, </w:t>
      </w:r>
      <w:proofErr w:type="spellStart"/>
      <w:r w:rsidRPr="007D1DFE">
        <w:rPr>
          <w:rFonts w:ascii="Times New Roman" w:eastAsia="Times New Roman" w:hAnsi="Times New Roman" w:cs="Times New Roman"/>
          <w:sz w:val="24"/>
          <w:szCs w:val="24"/>
          <w:lang w:eastAsia="it-IT"/>
        </w:rPr>
        <w:t>lett</w:t>
      </w:r>
      <w:proofErr w:type="spellEnd"/>
      <w:r w:rsidRPr="007D1DFE">
        <w:rPr>
          <w:rFonts w:ascii="Times New Roman" w:eastAsia="Times New Roman" w:hAnsi="Times New Roman" w:cs="Times New Roman"/>
          <w:sz w:val="24"/>
          <w:szCs w:val="24"/>
          <w:lang w:eastAsia="it-IT"/>
        </w:rPr>
        <w:t>. d) ed e), d.lgs. n. 196/2003) possono essere pubblicati solo nel caso vi sia una espressa disposizione di legge e siano indispensabili per raggiungere la finalità della pubblicazione.</w:t>
      </w:r>
    </w:p>
    <w:p w:rsidR="009903C3" w:rsidRPr="007D1DFE" w:rsidRDefault="009903C3" w:rsidP="007D1DFE">
      <w:pPr>
        <w:spacing w:line="240" w:lineRule="auto"/>
        <w:ind w:firstLine="708"/>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Per quanto concerne, invece, la pubblicazione di dati, informazioni e documenti ulteriori (non individuati, quindi, dal d.lgs. n. 33/2013 e ss.mm. o da altre specifiche norme di legge o di regolamento), la stessa è possibile “</w:t>
      </w:r>
      <w:r w:rsidRPr="007D1DFE">
        <w:rPr>
          <w:rFonts w:ascii="Times New Roman" w:eastAsia="Times New Roman" w:hAnsi="Times New Roman" w:cs="Times New Roman"/>
          <w:i/>
          <w:sz w:val="24"/>
          <w:szCs w:val="24"/>
          <w:lang w:eastAsia="it-IT"/>
        </w:rPr>
        <w:t xml:space="preserve">nel rispetto dei limiti indicati dall’articolo 5 bis </w:t>
      </w:r>
      <w:r w:rsidRPr="007D1DFE">
        <w:rPr>
          <w:rFonts w:ascii="Times New Roman" w:eastAsia="Times New Roman" w:hAnsi="Times New Roman" w:cs="Times New Roman"/>
          <w:i/>
          <w:sz w:val="24"/>
          <w:szCs w:val="24"/>
          <w:vertAlign w:val="superscript"/>
          <w:lang w:eastAsia="it-IT"/>
        </w:rPr>
        <w:footnoteReference w:id="60"/>
      </w:r>
      <w:r w:rsidRPr="007D1DFE">
        <w:rPr>
          <w:rFonts w:ascii="Times New Roman" w:eastAsia="Times New Roman" w:hAnsi="Times New Roman" w:cs="Times New Roman"/>
          <w:i/>
          <w:sz w:val="24"/>
          <w:szCs w:val="24"/>
          <w:lang w:eastAsia="it-IT"/>
        </w:rPr>
        <w:t xml:space="preserve">, procedendo </w:t>
      </w:r>
      <w:r w:rsidRPr="007D1DFE">
        <w:rPr>
          <w:rFonts w:ascii="Times New Roman" w:eastAsia="Times New Roman" w:hAnsi="Times New Roman" w:cs="Times New Roman"/>
          <w:i/>
          <w:sz w:val="24"/>
          <w:szCs w:val="24"/>
          <w:lang w:eastAsia="it-IT"/>
        </w:rPr>
        <w:lastRenderedPageBreak/>
        <w:t>alla indicazione in forma anonima dei dati personali eventualmente presenti</w:t>
      </w:r>
      <w:r w:rsidRPr="007D1DFE">
        <w:rPr>
          <w:rFonts w:ascii="Times New Roman" w:eastAsia="Times New Roman" w:hAnsi="Times New Roman" w:cs="Times New Roman"/>
          <w:sz w:val="24"/>
          <w:szCs w:val="24"/>
          <w:lang w:eastAsia="it-IT"/>
        </w:rPr>
        <w:t xml:space="preserve">” (art. 7 bis, c. 3, d.lgs. n. 33/2013), cioè oscurando il nominativo e le altre informazioni riferite all’interessato che ne possano consentire, anche indirettamente, l’identificazione. </w:t>
      </w:r>
    </w:p>
    <w:p w:rsidR="009903C3" w:rsidRPr="007D1DFE" w:rsidRDefault="009903C3" w:rsidP="007D1DFE">
      <w:pPr>
        <w:spacing w:line="240" w:lineRule="auto"/>
        <w:ind w:firstLine="708"/>
        <w:contextualSpacing/>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contextualSpacing/>
        <w:jc w:val="both"/>
        <w:rPr>
          <w:rFonts w:ascii="Times New Roman" w:eastAsia="Times New Roman" w:hAnsi="Times New Roman" w:cs="Times New Roman"/>
          <w:sz w:val="24"/>
          <w:szCs w:val="24"/>
          <w:lang w:eastAsia="it-IT"/>
        </w:rPr>
      </w:pPr>
    </w:p>
    <w:p w:rsidR="009903C3" w:rsidRPr="007D1DFE" w:rsidRDefault="009903C3" w:rsidP="007D1DFE">
      <w:pPr>
        <w:widowControl w:val="0"/>
        <w:numPr>
          <w:ilvl w:val="1"/>
          <w:numId w:val="21"/>
        </w:numPr>
        <w:suppressAutoHyphens/>
        <w:autoSpaceDN w:val="0"/>
        <w:spacing w:line="240" w:lineRule="auto"/>
        <w:contextualSpacing/>
        <w:jc w:val="both"/>
        <w:textAlignment w:val="baseline"/>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 xml:space="preserve"> Decorrenza e durata della pubblicazione. </w:t>
      </w:r>
    </w:p>
    <w:p w:rsidR="009903C3" w:rsidRPr="007D1DFE" w:rsidRDefault="009903C3" w:rsidP="007D1DFE">
      <w:pPr>
        <w:spacing w:line="240" w:lineRule="auto"/>
        <w:contextualSpacing/>
        <w:jc w:val="both"/>
        <w:rPr>
          <w:rFonts w:ascii="Times New Roman" w:eastAsia="Times New Roman" w:hAnsi="Times New Roman" w:cs="Times New Roman"/>
          <w:bCs/>
          <w:sz w:val="24"/>
          <w:szCs w:val="24"/>
          <w:lang w:eastAsia="it-IT"/>
        </w:rPr>
      </w:pPr>
    </w:p>
    <w:p w:rsidR="009903C3" w:rsidRPr="007D1DFE" w:rsidRDefault="009903C3" w:rsidP="007D1DFE">
      <w:pPr>
        <w:spacing w:line="240" w:lineRule="auto"/>
        <w:ind w:firstLine="708"/>
        <w:contextualSpacing/>
        <w:jc w:val="both"/>
        <w:rPr>
          <w:rFonts w:ascii="Times New Roman" w:eastAsia="Times New Roman" w:hAnsi="Times New Roman" w:cs="Times New Roman"/>
          <w:bCs/>
          <w:sz w:val="24"/>
          <w:szCs w:val="24"/>
          <w:lang w:eastAsia="it-IT"/>
        </w:rPr>
      </w:pPr>
      <w:r w:rsidRPr="007D1DFE">
        <w:rPr>
          <w:rFonts w:asciiTheme="majorHAnsi" w:hAnsiTheme="majorHAnsi" w:cstheme="majorHAnsi"/>
          <w:sz w:val="24"/>
          <w:szCs w:val="24"/>
        </w:rPr>
        <w:t xml:space="preserve">Per quanto concerne la tempistica di ciascuna pubblicazione vige l’indicazione riportata in relazione a ciascun specifico obbligo di cui all’Allegato 5 del presente Piano, in conformità alla normativa vigente.   </w:t>
      </w:r>
    </w:p>
    <w:p w:rsidR="009903C3" w:rsidRPr="007D1DFE" w:rsidRDefault="009903C3" w:rsidP="007D1DFE">
      <w:pPr>
        <w:spacing w:line="240" w:lineRule="auto"/>
        <w:ind w:firstLine="708"/>
        <w:contextualSpacing/>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Come precisato nell’Allegato 2 alla Delibera </w:t>
      </w:r>
      <w:proofErr w:type="spellStart"/>
      <w:r w:rsidRPr="007D1DFE">
        <w:rPr>
          <w:rFonts w:ascii="Times New Roman" w:eastAsia="Times New Roman" w:hAnsi="Times New Roman" w:cs="Times New Roman"/>
          <w:bCs/>
          <w:sz w:val="24"/>
          <w:szCs w:val="24"/>
          <w:lang w:eastAsia="it-IT"/>
        </w:rPr>
        <w:t>Civit</w:t>
      </w:r>
      <w:proofErr w:type="spellEnd"/>
      <w:r w:rsidRPr="007D1DFE">
        <w:rPr>
          <w:rFonts w:ascii="Times New Roman" w:eastAsia="Times New Roman" w:hAnsi="Times New Roman" w:cs="Times New Roman"/>
          <w:bCs/>
          <w:sz w:val="24"/>
          <w:szCs w:val="24"/>
          <w:lang w:eastAsia="it-IT"/>
        </w:rPr>
        <w:t xml:space="preserve"> n. 50/2013, l’obbligo di tenere il dato aggiornato non comporta necessariamente la sua modifica alla scadenza, essendo a volte sufficiente controllare che l’informazione già pubblicata risulti attuale, ad es. per quanto riguarda i curricula dei dirigenti e dei titolari di posizioni organizzative.</w:t>
      </w:r>
    </w:p>
    <w:p w:rsidR="009903C3" w:rsidRPr="007D1DFE" w:rsidRDefault="009903C3" w:rsidP="007D1DFE">
      <w:pPr>
        <w:spacing w:line="240" w:lineRule="auto"/>
        <w:ind w:firstLine="708"/>
        <w:contextualSpacing/>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Ciò premesso, in relazione al presente PTPC, in tutti i casi in cui nella suddetta Tabella sia presente la locuzione “Aggiornamento tempestivo”, questa sarà da intendersi quale termine, per la pubblicazione, di venti giorni decorrenti dal momento in cui il documento, dato o informazione rientri nella disponibilità della struttura competente. </w:t>
      </w:r>
    </w:p>
    <w:p w:rsidR="009903C3" w:rsidRPr="007D1DFE" w:rsidRDefault="009903C3" w:rsidP="007D1DFE">
      <w:pPr>
        <w:spacing w:line="240" w:lineRule="auto"/>
        <w:ind w:firstLine="708"/>
        <w:contextualSpacing/>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Ove sia previsto l’aggiornamento “trimestrale”, “semestrale” o “annuale”, la pubblicazione deve avvenire entro i venti giorni successivi alla scadenza rispettivamente del trimestre, del semestre o dell’annualità. </w:t>
      </w:r>
    </w:p>
    <w:p w:rsidR="009903C3" w:rsidRPr="007D1DFE" w:rsidRDefault="009903C3" w:rsidP="007D1DFE">
      <w:pPr>
        <w:spacing w:line="240" w:lineRule="auto"/>
        <w:ind w:firstLine="708"/>
        <w:contextualSpacing/>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Laddove la normativa non indichi specificamente la tempistica per l’aggiornamento, deve intendersi che questo debba avvenire tempestivamente (in tal senso il citato Allegato 2 alla Delibera </w:t>
      </w:r>
      <w:proofErr w:type="spellStart"/>
      <w:r w:rsidRPr="007D1DFE">
        <w:rPr>
          <w:rFonts w:ascii="Times New Roman" w:eastAsia="Times New Roman" w:hAnsi="Times New Roman" w:cs="Times New Roman"/>
          <w:bCs/>
          <w:sz w:val="24"/>
          <w:szCs w:val="24"/>
          <w:lang w:eastAsia="it-IT"/>
        </w:rPr>
        <w:t>Civit</w:t>
      </w:r>
      <w:proofErr w:type="spellEnd"/>
      <w:r w:rsidRPr="007D1DFE">
        <w:rPr>
          <w:rFonts w:ascii="Times New Roman" w:eastAsia="Times New Roman" w:hAnsi="Times New Roman" w:cs="Times New Roman"/>
          <w:bCs/>
          <w:sz w:val="24"/>
          <w:szCs w:val="24"/>
          <w:lang w:eastAsia="it-IT"/>
        </w:rPr>
        <w:t xml:space="preserve"> 50/2013 fa riferimento alla prescrizione contenuta nell’art. 8, comma 1, del d. </w:t>
      </w:r>
      <w:proofErr w:type="spellStart"/>
      <w:r w:rsidRPr="007D1DFE">
        <w:rPr>
          <w:rFonts w:ascii="Times New Roman" w:eastAsia="Times New Roman" w:hAnsi="Times New Roman" w:cs="Times New Roman"/>
          <w:bCs/>
          <w:sz w:val="24"/>
          <w:szCs w:val="24"/>
          <w:lang w:eastAsia="it-IT"/>
        </w:rPr>
        <w:t>lgs</w:t>
      </w:r>
      <w:proofErr w:type="spellEnd"/>
      <w:r w:rsidRPr="007D1DFE">
        <w:rPr>
          <w:rFonts w:ascii="Times New Roman" w:eastAsia="Times New Roman" w:hAnsi="Times New Roman" w:cs="Times New Roman"/>
          <w:bCs/>
          <w:sz w:val="24"/>
          <w:szCs w:val="24"/>
          <w:lang w:eastAsia="it-IT"/>
        </w:rPr>
        <w:t>. 33/2013).</w:t>
      </w:r>
    </w:p>
    <w:p w:rsidR="009903C3" w:rsidRPr="007D1DFE" w:rsidRDefault="009903C3" w:rsidP="007D1DFE">
      <w:pPr>
        <w:spacing w:line="240" w:lineRule="auto"/>
        <w:ind w:firstLine="708"/>
        <w:contextualSpacing/>
        <w:jc w:val="both"/>
        <w:rPr>
          <w:rFonts w:asciiTheme="majorHAnsi" w:hAnsiTheme="majorHAnsi" w:cstheme="majorHAnsi"/>
          <w:sz w:val="24"/>
          <w:szCs w:val="24"/>
        </w:rPr>
      </w:pPr>
      <w:r w:rsidRPr="007D1DFE">
        <w:rPr>
          <w:rFonts w:ascii="Times New Roman" w:eastAsia="Times New Roman" w:hAnsi="Times New Roman" w:cs="Times New Roman"/>
          <w:bCs/>
          <w:sz w:val="24"/>
          <w:szCs w:val="24"/>
          <w:lang w:eastAsia="it-IT"/>
        </w:rPr>
        <w:t>In ogni caso, ogni qual volta venga inserito un documento, dato o informazione su Amministrazione Trasparente dovrà essere immessa nella relativa pagina la data dell’aggiornamento (es. “data ultimo aggiornamento:12/12/2016”).</w:t>
      </w:r>
    </w:p>
    <w:p w:rsidR="009903C3" w:rsidRPr="007D1DFE" w:rsidRDefault="009903C3" w:rsidP="007D1DFE">
      <w:pPr>
        <w:spacing w:line="240" w:lineRule="auto"/>
        <w:ind w:firstLine="708"/>
        <w:contextualSpacing/>
        <w:jc w:val="both"/>
        <w:rPr>
          <w:rFonts w:asciiTheme="majorHAnsi" w:hAnsiTheme="majorHAnsi" w:cstheme="majorHAnsi"/>
          <w:sz w:val="24"/>
          <w:szCs w:val="24"/>
        </w:rPr>
      </w:pPr>
      <w:r w:rsidRPr="007D1DFE">
        <w:rPr>
          <w:rFonts w:asciiTheme="majorHAnsi" w:hAnsiTheme="majorHAnsi" w:cstheme="majorHAnsi"/>
          <w:sz w:val="24"/>
          <w:szCs w:val="24"/>
        </w:rPr>
        <w:t>Ai sensi dell’art. 8 del d.lgs. 33/2013, i dati, le informazioni e i documenti oggetto di pubblicazione obbligatoria ai sensi della normativa vigente devono restare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 articoli 14, comma 2 (relativo al personale politico, agli amministratori ed ai dirigenti), e 15, comma 4 (relativo ai collaboratori o consulenti). Decorsi detti termini, i relativi dati e documenti sono accessibili mediante l’istituto dell’accesso civico.</w:t>
      </w:r>
    </w:p>
    <w:p w:rsidR="009903C3" w:rsidRPr="007D1DFE" w:rsidRDefault="009903C3" w:rsidP="007D1DFE">
      <w:pPr>
        <w:spacing w:line="240" w:lineRule="auto"/>
        <w:ind w:firstLine="708"/>
        <w:contextualSpacing/>
        <w:jc w:val="both"/>
        <w:rPr>
          <w:rFonts w:ascii="Times New Roman" w:eastAsia="Times New Roman" w:hAnsi="Times New Roman" w:cs="Times New Roman"/>
          <w:bCs/>
          <w:sz w:val="24"/>
          <w:szCs w:val="24"/>
          <w:lang w:eastAsia="it-IT"/>
        </w:rPr>
      </w:pPr>
    </w:p>
    <w:p w:rsidR="009903C3" w:rsidRPr="007D1DFE" w:rsidRDefault="009903C3" w:rsidP="007D1DFE">
      <w:pPr>
        <w:spacing w:line="240" w:lineRule="auto"/>
        <w:contextualSpacing/>
        <w:jc w:val="both"/>
        <w:rPr>
          <w:rFonts w:ascii="Times New Roman" w:eastAsia="Times New Roman" w:hAnsi="Times New Roman" w:cs="Times New Roman"/>
          <w:bCs/>
          <w:sz w:val="24"/>
          <w:szCs w:val="24"/>
          <w:lang w:eastAsia="it-IT"/>
        </w:rPr>
      </w:pPr>
    </w:p>
    <w:p w:rsidR="009903C3" w:rsidRPr="007D1DFE" w:rsidRDefault="009903C3" w:rsidP="007D1DFE">
      <w:pPr>
        <w:numPr>
          <w:ilvl w:val="1"/>
          <w:numId w:val="21"/>
        </w:numPr>
        <w:spacing w:line="240" w:lineRule="auto"/>
        <w:contextualSpacing/>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 xml:space="preserve"> Accesso civico.</w:t>
      </w:r>
      <w:r w:rsidR="008079F5" w:rsidRPr="007D1DFE">
        <w:rPr>
          <w:rFonts w:ascii="Times New Roman" w:eastAsia="Times New Roman" w:hAnsi="Times New Roman" w:cs="Times New Roman"/>
          <w:b/>
          <w:bCs/>
          <w:sz w:val="24"/>
          <w:szCs w:val="24"/>
          <w:lang w:eastAsia="it-IT"/>
        </w:rPr>
        <w:t xml:space="preserve"> </w:t>
      </w:r>
    </w:p>
    <w:p w:rsidR="009903C3" w:rsidRPr="007D1DFE" w:rsidRDefault="009903C3" w:rsidP="007D1DFE">
      <w:pPr>
        <w:spacing w:line="240" w:lineRule="auto"/>
        <w:jc w:val="both"/>
        <w:rPr>
          <w:rFonts w:ascii="Times New Roman" w:eastAsia="Times New Roman" w:hAnsi="Times New Roman" w:cs="Times New Roman"/>
          <w:b/>
          <w:bCs/>
          <w:sz w:val="24"/>
          <w:szCs w:val="24"/>
          <w:lang w:eastAsia="it-IT"/>
        </w:rPr>
      </w:pPr>
    </w:p>
    <w:p w:rsidR="009903C3" w:rsidRPr="007D1DFE" w:rsidRDefault="009903C3" w:rsidP="007D1DFE">
      <w:pPr>
        <w:autoSpaceDE w:val="0"/>
        <w:autoSpaceDN w:val="0"/>
        <w:adjustRightInd w:val="0"/>
        <w:spacing w:line="240" w:lineRule="auto"/>
        <w:jc w:val="both"/>
        <w:rPr>
          <w:rFonts w:ascii="Times New Roman" w:hAnsi="Times New Roman" w:cs="Times New Roman"/>
          <w:sz w:val="24"/>
          <w:szCs w:val="24"/>
        </w:rPr>
      </w:pPr>
      <w:r w:rsidRPr="007D1DFE">
        <w:rPr>
          <w:rFonts w:ascii="Times New Roman" w:hAnsi="Times New Roman" w:cs="Times New Roman"/>
          <w:sz w:val="24"/>
          <w:szCs w:val="24"/>
        </w:rPr>
        <w:tab/>
        <w:t xml:space="preserve">La più rilevante novità apportata dal d.lgs. 97/2016 al testo originario del d.lgs. 33/2013 è rappresentata dall’introduzione del nuovo accesso civico generalizzato, che consente a qualsiasi soggetto di accedere ai dati e ai documenti detenuti dalle pubbliche amministrazioni, nel rispetto dei limiti relativi alla tutela di interessi giuridicamente rilevanti, individuati nell’art. 5 bis </w:t>
      </w:r>
      <w:r w:rsidRPr="007D1DFE">
        <w:rPr>
          <w:rFonts w:ascii="Times New Roman" w:hAnsi="Times New Roman" w:cs="Times New Roman"/>
          <w:sz w:val="24"/>
          <w:szCs w:val="24"/>
          <w:vertAlign w:val="superscript"/>
        </w:rPr>
        <w:footnoteReference w:id="61"/>
      </w:r>
      <w:r w:rsidRPr="007D1DFE">
        <w:rPr>
          <w:rFonts w:ascii="Times New Roman" w:hAnsi="Times New Roman" w:cs="Times New Roman"/>
          <w:sz w:val="24"/>
          <w:szCs w:val="24"/>
        </w:rPr>
        <w:t xml:space="preserve"> . </w:t>
      </w:r>
    </w:p>
    <w:p w:rsidR="009903C3" w:rsidRPr="007D1DFE" w:rsidRDefault="009903C3" w:rsidP="007D1DFE">
      <w:pPr>
        <w:autoSpaceDE w:val="0"/>
        <w:autoSpaceDN w:val="0"/>
        <w:adjustRightInd w:val="0"/>
        <w:spacing w:line="240" w:lineRule="auto"/>
        <w:jc w:val="both"/>
        <w:rPr>
          <w:rFonts w:ascii="Times New Roman" w:hAnsi="Times New Roman" w:cs="Times New Roman"/>
          <w:sz w:val="24"/>
          <w:szCs w:val="24"/>
        </w:rPr>
      </w:pPr>
      <w:r w:rsidRPr="007D1DFE">
        <w:rPr>
          <w:rFonts w:ascii="Times New Roman" w:hAnsi="Times New Roman" w:cs="Times New Roman"/>
          <w:sz w:val="24"/>
          <w:szCs w:val="24"/>
        </w:rPr>
        <w:tab/>
        <w:t xml:space="preserve">Prima di tale integrazione, l’accesso civico consentiva unicamente, sempre da parte di qualsiasi soggetto, di richiedere alla </w:t>
      </w:r>
      <w:r w:rsidR="00A458E0" w:rsidRPr="007D1DFE">
        <w:rPr>
          <w:rFonts w:ascii="Times New Roman" w:hAnsi="Times New Roman" w:cs="Times New Roman"/>
          <w:sz w:val="24"/>
          <w:szCs w:val="24"/>
        </w:rPr>
        <w:t>PA</w:t>
      </w:r>
      <w:r w:rsidRPr="007D1DFE">
        <w:rPr>
          <w:rFonts w:ascii="Times New Roman" w:hAnsi="Times New Roman" w:cs="Times New Roman"/>
          <w:sz w:val="24"/>
          <w:szCs w:val="24"/>
        </w:rPr>
        <w:t xml:space="preserve"> di provvedere alla pubblicazione dei documenti, dati ed informazioni che questa avesse omesso di effettuare a fronte di specifici obblighi in tal senso. </w:t>
      </w:r>
    </w:p>
    <w:p w:rsidR="009903C3" w:rsidRPr="007D1DFE" w:rsidRDefault="009903C3" w:rsidP="007D1DFE">
      <w:pPr>
        <w:autoSpaceDE w:val="0"/>
        <w:autoSpaceDN w:val="0"/>
        <w:adjustRightInd w:val="0"/>
        <w:spacing w:line="240" w:lineRule="auto"/>
        <w:jc w:val="both"/>
        <w:rPr>
          <w:rFonts w:ascii="Times New Roman" w:hAnsi="Times New Roman" w:cs="Times New Roman"/>
          <w:sz w:val="24"/>
          <w:szCs w:val="24"/>
        </w:rPr>
      </w:pPr>
      <w:r w:rsidRPr="007D1DFE">
        <w:rPr>
          <w:rFonts w:ascii="Times New Roman" w:hAnsi="Times New Roman" w:cs="Times New Roman"/>
          <w:sz w:val="24"/>
          <w:szCs w:val="24"/>
        </w:rPr>
        <w:tab/>
        <w:t xml:space="preserve">Tale possibilità di svolgere un ruolo di controllore sull’attività della </w:t>
      </w:r>
      <w:r w:rsidR="00A458E0" w:rsidRPr="007D1DFE">
        <w:rPr>
          <w:rFonts w:ascii="Times New Roman" w:hAnsi="Times New Roman" w:cs="Times New Roman"/>
          <w:sz w:val="24"/>
          <w:szCs w:val="24"/>
        </w:rPr>
        <w:t>PA</w:t>
      </w:r>
      <w:r w:rsidRPr="007D1DFE">
        <w:rPr>
          <w:rFonts w:ascii="Times New Roman" w:hAnsi="Times New Roman" w:cs="Times New Roman"/>
          <w:sz w:val="24"/>
          <w:szCs w:val="24"/>
        </w:rPr>
        <w:t xml:space="preserve"> è stata oggi estesa, ai sensi del comma 2, al buon andamento complessivo della </w:t>
      </w:r>
      <w:r w:rsidR="00A458E0" w:rsidRPr="007D1DFE">
        <w:rPr>
          <w:rFonts w:ascii="Times New Roman" w:hAnsi="Times New Roman" w:cs="Times New Roman"/>
          <w:sz w:val="24"/>
          <w:szCs w:val="24"/>
        </w:rPr>
        <w:t>PA</w:t>
      </w:r>
      <w:r w:rsidRPr="007D1DFE">
        <w:rPr>
          <w:rFonts w:ascii="Times New Roman" w:hAnsi="Times New Roman" w:cs="Times New Roman"/>
          <w:sz w:val="24"/>
          <w:szCs w:val="24"/>
        </w:rPr>
        <w:t xml:space="preserve"> attraverso “</w:t>
      </w:r>
      <w:r w:rsidRPr="007D1DFE">
        <w:rPr>
          <w:rFonts w:ascii="Times New Roman" w:hAnsi="Times New Roman" w:cs="Times New Roman"/>
          <w:i/>
          <w:sz w:val="24"/>
          <w:szCs w:val="24"/>
        </w:rPr>
        <w:t>forme diffuse di controllo sul perseguimento delle funzioni istituzionali e sull’utilizzo delle risorse pubbliche</w:t>
      </w:r>
      <w:r w:rsidRPr="007D1DFE">
        <w:rPr>
          <w:rFonts w:ascii="Times New Roman" w:hAnsi="Times New Roman" w:cs="Times New Roman"/>
          <w:sz w:val="24"/>
          <w:szCs w:val="24"/>
        </w:rPr>
        <w:t xml:space="preserve">”. </w:t>
      </w:r>
    </w:p>
    <w:p w:rsidR="009903C3" w:rsidRPr="007D1DFE" w:rsidRDefault="009903C3" w:rsidP="007D1DFE">
      <w:pPr>
        <w:autoSpaceDE w:val="0"/>
        <w:autoSpaceDN w:val="0"/>
        <w:adjustRightInd w:val="0"/>
        <w:spacing w:line="240" w:lineRule="auto"/>
        <w:jc w:val="both"/>
        <w:rPr>
          <w:rFonts w:ascii="Times New Roman" w:hAnsi="Times New Roman" w:cs="Times New Roman"/>
          <w:sz w:val="24"/>
          <w:szCs w:val="24"/>
        </w:rPr>
      </w:pPr>
      <w:r w:rsidRPr="007D1DFE">
        <w:rPr>
          <w:rFonts w:ascii="Times New Roman" w:hAnsi="Times New Roman" w:cs="Times New Roman"/>
          <w:sz w:val="24"/>
          <w:szCs w:val="24"/>
        </w:rPr>
        <w:tab/>
        <w:t>A differenza di quanto previsto dalla legge n. 241/1990 e ss.mm., l’accesso civico generalizzato non presuppone alcun interesse diretto, concreto e attuale, corrispondente ad una situazione giuridicamente tutelata e collegata al dato o al documento al quale è chiesto l'accesso.</w:t>
      </w:r>
    </w:p>
    <w:p w:rsidR="009903C3" w:rsidRPr="007D1DFE" w:rsidRDefault="009903C3" w:rsidP="007D1DFE">
      <w:pPr>
        <w:autoSpaceDE w:val="0"/>
        <w:autoSpaceDN w:val="0"/>
        <w:adjustRightInd w:val="0"/>
        <w:spacing w:line="240" w:lineRule="auto"/>
        <w:jc w:val="both"/>
        <w:rPr>
          <w:rFonts w:asciiTheme="majorHAnsi" w:eastAsia="Times New Roman" w:hAnsiTheme="majorHAnsi" w:cstheme="majorHAnsi"/>
          <w:sz w:val="24"/>
          <w:szCs w:val="24"/>
          <w:lang w:eastAsia="it-IT"/>
        </w:rPr>
      </w:pPr>
      <w:r w:rsidRPr="007D1DFE">
        <w:rPr>
          <w:rFonts w:ascii="Times New Roman" w:hAnsi="Times New Roman" w:cs="Times New Roman"/>
          <w:sz w:val="24"/>
          <w:szCs w:val="24"/>
        </w:rPr>
        <w:tab/>
        <w:t xml:space="preserve">Il nuovo accesso civico, come si è detto, </w:t>
      </w:r>
      <w:r w:rsidRPr="007D1DFE">
        <w:rPr>
          <w:rFonts w:asciiTheme="majorHAnsi" w:eastAsia="Times New Roman" w:hAnsiTheme="majorHAnsi" w:cstheme="majorHAnsi"/>
          <w:sz w:val="24"/>
          <w:szCs w:val="24"/>
          <w:lang w:eastAsia="it-IT"/>
        </w:rPr>
        <w:t xml:space="preserve">è potenzialmente esercitabile in ordine a qualsiasi dato o documento di cui l’amministrazione ha la disponibilità, </w:t>
      </w:r>
      <w:proofErr w:type="spellStart"/>
      <w:r w:rsidRPr="007D1DFE">
        <w:rPr>
          <w:rFonts w:asciiTheme="majorHAnsi" w:eastAsia="Times New Roman" w:hAnsiTheme="majorHAnsi" w:cstheme="majorHAnsi"/>
          <w:sz w:val="24"/>
          <w:szCs w:val="24"/>
          <w:lang w:eastAsia="it-IT"/>
        </w:rPr>
        <w:t>ancorchè</w:t>
      </w:r>
      <w:proofErr w:type="spellEnd"/>
      <w:r w:rsidRPr="007D1DFE">
        <w:rPr>
          <w:rFonts w:asciiTheme="majorHAnsi" w:eastAsia="Times New Roman" w:hAnsiTheme="majorHAnsi" w:cstheme="majorHAnsi"/>
          <w:sz w:val="24"/>
          <w:szCs w:val="24"/>
          <w:lang w:eastAsia="it-IT"/>
        </w:rPr>
        <w:t xml:space="preserve"> non da essa prodotto, ma trova delle eccezioni e dei limiti rappresentati dall’esigenza di salvaguardare sia interessi pubblici sia interessi privati, che verrebbero ad essere pregiudicati qualora la conoscenza di determinati dati o documenti fosse indiscriminatamente alla portata di chiunque.</w:t>
      </w:r>
    </w:p>
    <w:p w:rsidR="009903C3" w:rsidRPr="007D1DFE" w:rsidRDefault="009903C3" w:rsidP="007D1DFE">
      <w:pPr>
        <w:spacing w:line="240" w:lineRule="auto"/>
        <w:jc w:val="both"/>
        <w:rPr>
          <w:rFonts w:asciiTheme="majorHAnsi" w:eastAsia="Times New Roman" w:hAnsiTheme="majorHAnsi" w:cstheme="majorHAnsi"/>
          <w:sz w:val="24"/>
          <w:szCs w:val="24"/>
          <w:lang w:eastAsia="it-IT"/>
        </w:rPr>
      </w:pPr>
      <w:r w:rsidRPr="007D1DFE">
        <w:rPr>
          <w:rFonts w:asciiTheme="majorHAnsi" w:eastAsia="Times New Roman" w:hAnsiTheme="majorHAnsi" w:cstheme="majorHAnsi"/>
          <w:sz w:val="30"/>
          <w:szCs w:val="30"/>
          <w:lang w:eastAsia="it-IT"/>
        </w:rPr>
        <w:tab/>
      </w:r>
      <w:r w:rsidRPr="007D1DFE">
        <w:rPr>
          <w:rFonts w:asciiTheme="majorHAnsi" w:eastAsia="Times New Roman" w:hAnsiTheme="majorHAnsi" w:cstheme="majorHAnsi"/>
          <w:sz w:val="24"/>
          <w:szCs w:val="24"/>
          <w:lang w:eastAsia="it-IT"/>
        </w:rPr>
        <w:t xml:space="preserve">Il nuovo </w:t>
      </w:r>
      <w:r w:rsidR="00820FA5" w:rsidRPr="007D1DFE">
        <w:rPr>
          <w:rFonts w:asciiTheme="majorHAnsi" w:eastAsia="Times New Roman" w:hAnsiTheme="majorHAnsi" w:cstheme="majorHAnsi"/>
          <w:sz w:val="24"/>
          <w:szCs w:val="24"/>
          <w:lang w:eastAsia="it-IT"/>
        </w:rPr>
        <w:t xml:space="preserve">art. </w:t>
      </w:r>
      <w:r w:rsidRPr="007D1DFE">
        <w:rPr>
          <w:rFonts w:asciiTheme="majorHAnsi" w:eastAsia="Times New Roman" w:hAnsiTheme="majorHAnsi" w:cstheme="majorHAnsi"/>
          <w:sz w:val="24"/>
          <w:szCs w:val="24"/>
          <w:lang w:eastAsia="it-IT"/>
        </w:rPr>
        <w:t>5 del d.lgs. 33/2013 disciplina anche le modalità con le quali può essere richiesto il riesame della decisione dell’amministrazione in ordine all’istanza pervenuta e i casi in cui, in tale fase del riesame, debba essere richiesto obbligatoriamente il parere all’Autorità garante per la protezione dei dati personali.</w:t>
      </w:r>
    </w:p>
    <w:p w:rsidR="009903C3" w:rsidRPr="007D1DFE" w:rsidRDefault="009903C3" w:rsidP="007D1DFE">
      <w:pPr>
        <w:spacing w:line="240" w:lineRule="auto"/>
        <w:jc w:val="both"/>
        <w:rPr>
          <w:rFonts w:asciiTheme="majorHAnsi" w:eastAsia="Times New Roman" w:hAnsiTheme="majorHAnsi" w:cstheme="majorHAnsi"/>
          <w:sz w:val="24"/>
          <w:szCs w:val="24"/>
          <w:lang w:eastAsia="it-IT"/>
        </w:rPr>
      </w:pPr>
      <w:r w:rsidRPr="007D1DFE">
        <w:rPr>
          <w:rFonts w:asciiTheme="majorHAnsi" w:eastAsia="Times New Roman" w:hAnsiTheme="majorHAnsi" w:cstheme="majorHAnsi"/>
          <w:sz w:val="24"/>
          <w:szCs w:val="24"/>
          <w:lang w:eastAsia="it-IT"/>
        </w:rPr>
        <w:tab/>
        <w:t>Si evidenzia che, ai sensi dell’art. 46 del d.lgs. 33/2013 e ss.mm., “</w:t>
      </w:r>
      <w:r w:rsidRPr="007D1DFE">
        <w:rPr>
          <w:rFonts w:asciiTheme="majorHAnsi" w:eastAsia="Times New Roman" w:hAnsiTheme="majorHAnsi" w:cstheme="majorHAnsi"/>
          <w:i/>
          <w:sz w:val="24"/>
          <w:szCs w:val="24"/>
          <w:lang w:eastAsia="it-IT"/>
        </w:rPr>
        <w:t>il rifiuto, il differimento e la limitazione dell’accesso civico, al di fuori delle ipotesi previste dall’articolo 5 bis</w:t>
      </w:r>
      <w:r w:rsidRPr="007D1DFE">
        <w:rPr>
          <w:rFonts w:asciiTheme="majorHAnsi" w:eastAsia="Times New Roman" w:hAnsiTheme="majorHAnsi" w:cstheme="majorHAnsi"/>
          <w:sz w:val="24"/>
          <w:szCs w:val="24"/>
          <w:lang w:eastAsia="it-IT"/>
        </w:rPr>
        <w:t>” come anche  l’inadempimento degli obblighi di pubblicazione previsti dalla normativa vigente, “</w:t>
      </w:r>
      <w:r w:rsidRPr="007D1DFE">
        <w:rPr>
          <w:rFonts w:asciiTheme="majorHAnsi" w:eastAsia="Times New Roman" w:hAnsiTheme="majorHAnsi" w:cstheme="majorHAnsi"/>
          <w:i/>
          <w:sz w:val="24"/>
          <w:szCs w:val="24"/>
          <w:lang w:eastAsia="it-IT"/>
        </w:rPr>
        <w:t>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w:t>
      </w:r>
      <w:r w:rsidR="006A0DF2" w:rsidRPr="007D1DFE">
        <w:rPr>
          <w:rFonts w:asciiTheme="majorHAnsi" w:eastAsia="Times New Roman" w:hAnsiTheme="majorHAnsi" w:cstheme="majorHAnsi"/>
          <w:i/>
          <w:sz w:val="24"/>
          <w:szCs w:val="24"/>
          <w:lang w:eastAsia="it-IT"/>
        </w:rPr>
        <w:t>r</w:t>
      </w:r>
      <w:r w:rsidRPr="007D1DFE">
        <w:rPr>
          <w:rFonts w:asciiTheme="majorHAnsi" w:eastAsia="Times New Roman" w:hAnsiTheme="majorHAnsi" w:cstheme="majorHAnsi"/>
          <w:i/>
          <w:sz w:val="24"/>
          <w:szCs w:val="24"/>
          <w:lang w:eastAsia="it-IT"/>
        </w:rPr>
        <w:t>formance individuale dei responsabili</w:t>
      </w:r>
      <w:r w:rsidRPr="007D1DFE">
        <w:rPr>
          <w:rFonts w:asciiTheme="majorHAnsi" w:eastAsia="Times New Roman" w:hAnsiTheme="majorHAnsi" w:cstheme="majorHAnsi"/>
          <w:sz w:val="24"/>
          <w:szCs w:val="24"/>
          <w:lang w:eastAsia="it-IT"/>
        </w:rPr>
        <w:t>”.</w:t>
      </w:r>
    </w:p>
    <w:p w:rsidR="00B33BC7" w:rsidRPr="007D1DFE" w:rsidRDefault="00B33BC7" w:rsidP="007D1DFE">
      <w:pPr>
        <w:spacing w:line="240" w:lineRule="auto"/>
        <w:jc w:val="both"/>
        <w:rPr>
          <w:rFonts w:asciiTheme="majorHAnsi" w:eastAsia="Times New Roman" w:hAnsiTheme="majorHAnsi" w:cstheme="majorHAnsi"/>
          <w:sz w:val="24"/>
          <w:szCs w:val="24"/>
          <w:lang w:eastAsia="it-IT"/>
        </w:rPr>
      </w:pPr>
      <w:r w:rsidRPr="007D1DFE">
        <w:rPr>
          <w:rFonts w:asciiTheme="majorHAnsi" w:eastAsia="Times New Roman" w:hAnsiTheme="majorHAnsi" w:cstheme="majorHAnsi"/>
          <w:sz w:val="24"/>
          <w:szCs w:val="24"/>
          <w:lang w:eastAsia="it-IT"/>
        </w:rPr>
        <w:tab/>
        <w:t>In materia di accesso civico l’ANAC ha adottato, con delibera n. 1309 del 28 dicembre 2016,  delle “</w:t>
      </w:r>
      <w:r w:rsidRPr="007D1DFE">
        <w:rPr>
          <w:rFonts w:asciiTheme="majorHAnsi" w:eastAsia="Times New Roman" w:hAnsiTheme="majorHAnsi" w:cstheme="majorHAnsi"/>
          <w:i/>
          <w:sz w:val="24"/>
          <w:szCs w:val="24"/>
          <w:lang w:eastAsia="it-IT"/>
        </w:rPr>
        <w:t>Linee guida recanti indicazioni operative ai fini della definizione delle esclusioni e dei limiti all’accesso civico</w:t>
      </w:r>
      <w:r w:rsidRPr="007D1DFE">
        <w:rPr>
          <w:rFonts w:asciiTheme="majorHAnsi" w:eastAsia="Times New Roman" w:hAnsiTheme="majorHAnsi" w:cstheme="majorHAnsi"/>
          <w:sz w:val="24"/>
          <w:szCs w:val="24"/>
          <w:lang w:eastAsia="it-IT"/>
        </w:rPr>
        <w:t xml:space="preserve">”. </w:t>
      </w:r>
    </w:p>
    <w:p w:rsidR="00B33BC7" w:rsidRPr="007D1DFE" w:rsidRDefault="00B33BC7" w:rsidP="007D1DFE">
      <w:pPr>
        <w:spacing w:line="240" w:lineRule="auto"/>
        <w:jc w:val="both"/>
        <w:rPr>
          <w:rFonts w:eastAsia="Times New Roman" w:cstheme="majorHAnsi"/>
          <w:b/>
          <w:bCs/>
          <w:sz w:val="24"/>
          <w:szCs w:val="24"/>
          <w:lang w:eastAsia="it-IT"/>
        </w:rPr>
      </w:pPr>
      <w:r w:rsidRPr="007D1DFE">
        <w:rPr>
          <w:rFonts w:asciiTheme="majorHAnsi" w:eastAsia="Times New Roman" w:hAnsiTheme="majorHAnsi" w:cstheme="majorHAnsi"/>
          <w:sz w:val="24"/>
          <w:szCs w:val="24"/>
          <w:lang w:eastAsia="it-IT"/>
        </w:rPr>
        <w:tab/>
        <w:t xml:space="preserve">Successivamente sull’argomento è intervenuta anche la </w:t>
      </w:r>
      <w:r w:rsidRPr="007D1DFE">
        <w:rPr>
          <w:rFonts w:ascii="Times New Roman" w:eastAsia="Times New Roman" w:hAnsi="Times New Roman" w:cs="Times New Roman"/>
          <w:bCs/>
          <w:sz w:val="24"/>
          <w:szCs w:val="24"/>
          <w:lang w:eastAsia="it-IT"/>
        </w:rPr>
        <w:t>Circolare n. 2 /2017 del Ministro per la Semplificazione e la pubblica amministrazione, che tratta specificamente i seguenti aspetti:</w:t>
      </w:r>
      <w:r w:rsidRPr="007D1DFE">
        <w:t xml:space="preserve"> </w:t>
      </w:r>
      <w:r w:rsidRPr="007D1DFE">
        <w:rPr>
          <w:rFonts w:ascii="Times New Roman" w:eastAsia="Times New Roman" w:hAnsi="Times New Roman" w:cs="Times New Roman"/>
          <w:bCs/>
          <w:sz w:val="24"/>
          <w:szCs w:val="24"/>
          <w:lang w:eastAsia="it-IT"/>
        </w:rPr>
        <w:t>le modalità di presentazione della richiesta</w:t>
      </w:r>
      <w:r w:rsidR="002235A7" w:rsidRPr="007D1DFE">
        <w:rPr>
          <w:rFonts w:ascii="Times New Roman" w:eastAsia="Times New Roman" w:hAnsi="Times New Roman" w:cs="Times New Roman"/>
          <w:bCs/>
          <w:sz w:val="24"/>
          <w:szCs w:val="24"/>
          <w:lang w:eastAsia="it-IT"/>
        </w:rPr>
        <w:t>;</w:t>
      </w:r>
      <w:r w:rsidRPr="007D1DFE">
        <w:rPr>
          <w:rFonts w:ascii="Times New Roman" w:eastAsia="Times New Roman" w:hAnsi="Times New Roman" w:cs="Times New Roman"/>
          <w:bCs/>
          <w:sz w:val="24"/>
          <w:szCs w:val="24"/>
          <w:lang w:eastAsia="it-IT"/>
        </w:rPr>
        <w:t xml:space="preserve"> gli uffici competenti</w:t>
      </w:r>
      <w:r w:rsidR="002235A7" w:rsidRPr="007D1DFE">
        <w:rPr>
          <w:rFonts w:ascii="Times New Roman" w:eastAsia="Times New Roman" w:hAnsi="Times New Roman" w:cs="Times New Roman"/>
          <w:bCs/>
          <w:sz w:val="24"/>
          <w:szCs w:val="24"/>
          <w:lang w:eastAsia="it-IT"/>
        </w:rPr>
        <w:t>;</w:t>
      </w:r>
      <w:r w:rsidR="00DE5D8F" w:rsidRPr="007D1DFE">
        <w:rPr>
          <w:rFonts w:ascii="Times New Roman" w:eastAsia="Times New Roman" w:hAnsi="Times New Roman" w:cs="Times New Roman"/>
          <w:bCs/>
          <w:sz w:val="24"/>
          <w:szCs w:val="24"/>
          <w:lang w:eastAsia="it-IT"/>
        </w:rPr>
        <w:t xml:space="preserve"> </w:t>
      </w:r>
      <w:r w:rsidRPr="007D1DFE">
        <w:rPr>
          <w:rFonts w:ascii="Times New Roman" w:eastAsia="Times New Roman" w:hAnsi="Times New Roman" w:cs="Times New Roman"/>
          <w:bCs/>
          <w:sz w:val="24"/>
          <w:szCs w:val="24"/>
          <w:lang w:eastAsia="it-IT"/>
        </w:rPr>
        <w:t>i tempi di decisione</w:t>
      </w:r>
      <w:r w:rsidR="002235A7" w:rsidRPr="007D1DFE">
        <w:rPr>
          <w:rFonts w:ascii="Times New Roman" w:eastAsia="Times New Roman" w:hAnsi="Times New Roman" w:cs="Times New Roman"/>
          <w:bCs/>
          <w:sz w:val="24"/>
          <w:szCs w:val="24"/>
          <w:lang w:eastAsia="it-IT"/>
        </w:rPr>
        <w:t xml:space="preserve">; </w:t>
      </w:r>
      <w:r w:rsidRPr="007D1DFE">
        <w:rPr>
          <w:rFonts w:ascii="Times New Roman" w:eastAsia="Times New Roman" w:hAnsi="Times New Roman" w:cs="Times New Roman"/>
          <w:bCs/>
          <w:sz w:val="24"/>
          <w:szCs w:val="24"/>
          <w:lang w:eastAsia="it-IT"/>
        </w:rPr>
        <w:t>i controinteressati</w:t>
      </w:r>
      <w:r w:rsidR="002235A7" w:rsidRPr="007D1DFE">
        <w:rPr>
          <w:rFonts w:ascii="Times New Roman" w:eastAsia="Times New Roman" w:hAnsi="Times New Roman" w:cs="Times New Roman"/>
          <w:bCs/>
          <w:sz w:val="24"/>
          <w:szCs w:val="24"/>
          <w:lang w:eastAsia="it-IT"/>
        </w:rPr>
        <w:t>;</w:t>
      </w:r>
      <w:r w:rsidRPr="007D1DFE">
        <w:rPr>
          <w:rFonts w:ascii="Times New Roman" w:eastAsia="Times New Roman" w:hAnsi="Times New Roman" w:cs="Times New Roman"/>
          <w:bCs/>
          <w:sz w:val="24"/>
          <w:szCs w:val="24"/>
          <w:lang w:eastAsia="it-IT"/>
        </w:rPr>
        <w:t xml:space="preserve"> i rifiuti non consentiti</w:t>
      </w:r>
      <w:r w:rsidR="002235A7" w:rsidRPr="007D1DFE">
        <w:rPr>
          <w:rFonts w:ascii="Times New Roman" w:eastAsia="Times New Roman" w:hAnsi="Times New Roman" w:cs="Times New Roman"/>
          <w:bCs/>
          <w:sz w:val="24"/>
          <w:szCs w:val="24"/>
          <w:lang w:eastAsia="it-IT"/>
        </w:rPr>
        <w:t xml:space="preserve">; </w:t>
      </w:r>
      <w:r w:rsidRPr="007D1DFE">
        <w:rPr>
          <w:rFonts w:ascii="Times New Roman" w:eastAsia="Times New Roman" w:hAnsi="Times New Roman" w:cs="Times New Roman"/>
          <w:bCs/>
          <w:sz w:val="24"/>
          <w:szCs w:val="24"/>
          <w:lang w:eastAsia="it-IT"/>
        </w:rPr>
        <w:t xml:space="preserve">il dialogo con i richiedenti </w:t>
      </w:r>
      <w:r w:rsidR="002235A7" w:rsidRPr="007D1DFE">
        <w:rPr>
          <w:rFonts w:ascii="Times New Roman" w:eastAsia="Times New Roman" w:hAnsi="Times New Roman" w:cs="Times New Roman"/>
          <w:bCs/>
          <w:sz w:val="24"/>
          <w:szCs w:val="24"/>
          <w:lang w:eastAsia="it-IT"/>
        </w:rPr>
        <w:t>ed infine il r</w:t>
      </w:r>
      <w:r w:rsidRPr="007D1DFE">
        <w:rPr>
          <w:rFonts w:ascii="Times New Roman" w:eastAsia="Times New Roman" w:hAnsi="Times New Roman" w:cs="Times New Roman"/>
          <w:bCs/>
          <w:sz w:val="24"/>
          <w:szCs w:val="24"/>
          <w:lang w:eastAsia="it-IT"/>
        </w:rPr>
        <w:t>egistro degli accessi</w:t>
      </w:r>
      <w:r w:rsidR="002235A7" w:rsidRPr="007D1DFE">
        <w:rPr>
          <w:rFonts w:ascii="Times New Roman" w:eastAsia="Times New Roman" w:hAnsi="Times New Roman" w:cs="Times New Roman"/>
          <w:bCs/>
          <w:sz w:val="24"/>
          <w:szCs w:val="24"/>
          <w:lang w:eastAsia="it-IT"/>
        </w:rPr>
        <w:t>.</w:t>
      </w:r>
    </w:p>
    <w:p w:rsidR="00B33BC7" w:rsidRPr="007D1DFE" w:rsidRDefault="002235A7"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
          <w:bCs/>
          <w:sz w:val="24"/>
          <w:szCs w:val="24"/>
          <w:lang w:eastAsia="it-IT"/>
        </w:rPr>
        <w:tab/>
      </w:r>
      <w:r w:rsidRPr="007D1DFE">
        <w:rPr>
          <w:rFonts w:ascii="Times New Roman" w:eastAsia="Times New Roman" w:hAnsi="Times New Roman" w:cs="Times New Roman"/>
          <w:bCs/>
          <w:sz w:val="24"/>
          <w:szCs w:val="24"/>
          <w:lang w:eastAsia="it-IT"/>
        </w:rPr>
        <w:t>La circolare, che è rivolta a tutte le amministrazioni pubbliche di cui all’art.1, comma 2 del decreto legislativo 165/2001 nonché alle Autorità indipendenti, ribadisce il principio della “</w:t>
      </w:r>
      <w:r w:rsidRPr="007D1DFE">
        <w:rPr>
          <w:rFonts w:ascii="Times New Roman" w:eastAsia="Times New Roman" w:hAnsi="Times New Roman" w:cs="Times New Roman"/>
          <w:bCs/>
          <w:i/>
          <w:sz w:val="24"/>
          <w:szCs w:val="24"/>
          <w:lang w:eastAsia="it-IT"/>
        </w:rPr>
        <w:t>tutela preferenziale dell’interesse a conoscere</w:t>
      </w:r>
      <w:r w:rsidRPr="007D1DFE">
        <w:rPr>
          <w:rFonts w:ascii="Times New Roman" w:eastAsia="Times New Roman" w:hAnsi="Times New Roman" w:cs="Times New Roman"/>
          <w:bCs/>
          <w:sz w:val="24"/>
          <w:szCs w:val="24"/>
          <w:lang w:eastAsia="it-IT"/>
        </w:rPr>
        <w:t>” che comporta, in caso di dubbi sull’applicazione di limiti o esclusioni, la “</w:t>
      </w:r>
      <w:r w:rsidRPr="007D1DFE">
        <w:rPr>
          <w:rFonts w:ascii="Times New Roman" w:eastAsia="Times New Roman" w:hAnsi="Times New Roman" w:cs="Times New Roman"/>
          <w:bCs/>
          <w:i/>
          <w:sz w:val="24"/>
          <w:szCs w:val="24"/>
          <w:lang w:eastAsia="it-IT"/>
        </w:rPr>
        <w:t>prevalenza all’interesse conoscitivo che la richiesta mira a soddisfare</w:t>
      </w:r>
      <w:r w:rsidRPr="007D1DFE">
        <w:rPr>
          <w:rFonts w:ascii="Times New Roman" w:eastAsia="Times New Roman" w:hAnsi="Times New Roman" w:cs="Times New Roman"/>
          <w:bCs/>
          <w:sz w:val="24"/>
          <w:szCs w:val="24"/>
          <w:lang w:eastAsia="it-IT"/>
        </w:rPr>
        <w:t>”. Sempre in base a tale principio, “</w:t>
      </w:r>
      <w:r w:rsidRPr="007D1DFE">
        <w:rPr>
          <w:rFonts w:ascii="Times New Roman" w:eastAsia="Times New Roman" w:hAnsi="Times New Roman" w:cs="Times New Roman"/>
          <w:bCs/>
          <w:i/>
          <w:sz w:val="24"/>
          <w:szCs w:val="24"/>
          <w:lang w:eastAsia="it-IT"/>
        </w:rPr>
        <w:t>qualora non sia specificato un diverso titolo giuridico della domanda (ad es. procedimentale, ambientale, ecc.), la stessa dovrà essere trattata dall’amministrazione come richiesta di accesso generalizzato</w:t>
      </w:r>
      <w:r w:rsidRPr="007D1DFE">
        <w:rPr>
          <w:rFonts w:ascii="Times New Roman" w:eastAsia="Times New Roman" w:hAnsi="Times New Roman" w:cs="Times New Roman"/>
          <w:bCs/>
          <w:sz w:val="24"/>
          <w:szCs w:val="24"/>
          <w:lang w:eastAsia="it-IT"/>
        </w:rPr>
        <w:t>.”.</w:t>
      </w:r>
    </w:p>
    <w:p w:rsidR="008079F5" w:rsidRPr="007D1DFE" w:rsidRDefault="008079F5" w:rsidP="007D1DFE">
      <w:pPr>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ab/>
        <w:t>La circolare, ancora, rivolge un fermo invito alle amministrazioni ad instaurare un “dialogo cooperativo” con il richiedente. Anche nei casi in cui la richiesta sia massiva o irragionevole l’amministrazione dovrebbe far rilevare il problema ed invitare conseguentemente il richiedente a ridefinire l’istanza.</w:t>
      </w:r>
    </w:p>
    <w:p w:rsidR="009903C3" w:rsidRPr="007D1DFE" w:rsidRDefault="009903C3" w:rsidP="007D1DFE">
      <w:pPr>
        <w:spacing w:line="240" w:lineRule="auto"/>
        <w:ind w:firstLine="708"/>
        <w:contextualSpacing/>
        <w:jc w:val="both"/>
        <w:rPr>
          <w:rFonts w:ascii="Times New Roman" w:eastAsia="Times New Roman" w:hAnsi="Times New Roman" w:cs="Times New Roman"/>
          <w:b/>
          <w:bCs/>
          <w:sz w:val="24"/>
          <w:szCs w:val="24"/>
          <w:lang w:eastAsia="it-IT"/>
        </w:rPr>
      </w:pPr>
    </w:p>
    <w:p w:rsidR="009903C3" w:rsidRPr="007D1DFE" w:rsidRDefault="009903C3" w:rsidP="007D1DFE">
      <w:pPr>
        <w:spacing w:line="240" w:lineRule="auto"/>
        <w:contextualSpacing/>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Cs/>
          <w:sz w:val="24"/>
          <w:szCs w:val="24"/>
          <w:lang w:eastAsia="it-IT"/>
        </w:rPr>
        <w:t xml:space="preserve">  </w:t>
      </w:r>
    </w:p>
    <w:p w:rsidR="009903C3" w:rsidRPr="007D1DFE" w:rsidRDefault="009903C3" w:rsidP="007D1DFE">
      <w:pPr>
        <w:numPr>
          <w:ilvl w:val="0"/>
          <w:numId w:val="21"/>
        </w:numPr>
        <w:autoSpaceDE w:val="0"/>
        <w:autoSpaceDN w:val="0"/>
        <w:adjustRightInd w:val="0"/>
        <w:spacing w:line="240" w:lineRule="auto"/>
        <w:jc w:val="both"/>
        <w:rPr>
          <w:rFonts w:ascii="Times New Roman" w:eastAsia="Times New Roman" w:hAnsi="Times New Roman" w:cs="Times New Roman"/>
          <w:bCs/>
          <w:sz w:val="24"/>
          <w:szCs w:val="24"/>
          <w:lang w:eastAsia="it-IT"/>
        </w:rPr>
      </w:pPr>
      <w:r w:rsidRPr="007D1DFE">
        <w:rPr>
          <w:rFonts w:ascii="Times New Roman" w:eastAsia="Times New Roman" w:hAnsi="Times New Roman" w:cs="Times New Roman"/>
          <w:b/>
          <w:bCs/>
          <w:sz w:val="24"/>
          <w:szCs w:val="24"/>
          <w:lang w:eastAsia="it-IT"/>
        </w:rPr>
        <w:t>Monitoraggio e vigilanza sull’attuazione degli obblighi di trasparenza.</w:t>
      </w:r>
      <w:r w:rsidRPr="007D1DFE">
        <w:rPr>
          <w:rFonts w:ascii="Times New Roman" w:eastAsia="Times New Roman" w:hAnsi="Times New Roman" w:cs="Times New Roman"/>
          <w:bCs/>
          <w:sz w:val="24"/>
          <w:szCs w:val="24"/>
          <w:lang w:eastAsia="it-IT"/>
        </w:rPr>
        <w:t xml:space="preserve"> </w:t>
      </w:r>
    </w:p>
    <w:p w:rsidR="009903C3" w:rsidRPr="007D1DFE" w:rsidRDefault="009903C3" w:rsidP="007D1DFE">
      <w:pPr>
        <w:autoSpaceDE w:val="0"/>
        <w:autoSpaceDN w:val="0"/>
        <w:adjustRightInd w:val="0"/>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Il Responsabile della trasparenza, avvalendosi della propria struttura di collaborazione e dell’Ufficio relazioni con il pubblico, svolge attività di monitoraggio e di verifica circa l’adempimento degli obblighi di pubblicazione previsti dalla normativa vigente, al fine di assicurare, anche mediante l’adozione di direttive, la qualità dei dati pubblicati. </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In particolare, </w:t>
      </w:r>
      <w:r w:rsidR="00591CAE" w:rsidRPr="007D1DFE">
        <w:rPr>
          <w:rFonts w:ascii="Times New Roman" w:eastAsia="Times New Roman" w:hAnsi="Times New Roman" w:cs="Times New Roman"/>
          <w:sz w:val="24"/>
          <w:szCs w:val="24"/>
          <w:lang w:eastAsia="it-IT"/>
        </w:rPr>
        <w:t>ogni quadrimestre</w:t>
      </w:r>
      <w:r w:rsidRPr="007D1DFE">
        <w:rPr>
          <w:rFonts w:ascii="Times New Roman" w:eastAsia="Times New Roman" w:hAnsi="Times New Roman" w:cs="Times New Roman"/>
          <w:sz w:val="24"/>
          <w:szCs w:val="24"/>
          <w:lang w:eastAsia="it-IT"/>
        </w:rPr>
        <w:t xml:space="preserve">, il Responsabile effettua delle verifiche a campione </w:t>
      </w:r>
      <w:r w:rsidR="00591CAE" w:rsidRPr="007D1DFE">
        <w:rPr>
          <w:rFonts w:ascii="Times New Roman" w:eastAsia="Times New Roman" w:hAnsi="Times New Roman" w:cs="Times New Roman"/>
          <w:sz w:val="24"/>
          <w:szCs w:val="24"/>
          <w:lang w:eastAsia="it-IT"/>
        </w:rPr>
        <w:t xml:space="preserve">sulla sezione </w:t>
      </w:r>
      <w:r w:rsidRPr="007D1DFE">
        <w:rPr>
          <w:rFonts w:ascii="Times New Roman" w:eastAsia="Times New Roman" w:hAnsi="Times New Roman" w:cs="Times New Roman"/>
          <w:sz w:val="24"/>
          <w:szCs w:val="24"/>
          <w:lang w:eastAsia="it-IT"/>
        </w:rPr>
        <w:t>Amministrazione Trasparente</w:t>
      </w:r>
      <w:r w:rsidR="00591CAE" w:rsidRPr="007D1DFE">
        <w:rPr>
          <w:rFonts w:ascii="Times New Roman" w:eastAsia="Times New Roman" w:hAnsi="Times New Roman" w:cs="Times New Roman"/>
          <w:sz w:val="24"/>
          <w:szCs w:val="24"/>
          <w:lang w:eastAsia="it-IT"/>
        </w:rPr>
        <w:t xml:space="preserve"> che può interessare uno o più sottosezioni della stessa</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Nel caso in cui riscontri inadempimenti o irregolarità nella pubblicazione dei documenti, dati e informazioni rispetto a quanto previsto dalla normativa vigente, il Responsabile  provvede ad inviare un formale sollecito al dirigente responsabile, e per conoscenza al Direttore competente, assegnando un termine massimo per l’adempimento, decorso infruttuosamente il quale procede, ai sensi dell’art. 43, comma 5, del d.lgs. 33/2013, alla segnalazione nei confronti dell’Ufficio di Presidenza, dell’Organismo Indipendente di Valutazione e della struttura competente per i procedimenti disciplinari. </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Indipendentemente dalla segnalazione degli eventuali suddetti inadempimenti riscontrati, il Responsabile della Trasparenza trasmette all’</w:t>
      </w:r>
      <w:r w:rsidR="00896E6B" w:rsidRPr="007D1DFE">
        <w:rPr>
          <w:rFonts w:ascii="Times New Roman" w:eastAsia="Times New Roman" w:hAnsi="Times New Roman" w:cs="Times New Roman"/>
          <w:sz w:val="24"/>
          <w:szCs w:val="24"/>
          <w:lang w:eastAsia="it-IT"/>
        </w:rPr>
        <w:t>OIV</w:t>
      </w:r>
      <w:r w:rsidRPr="007D1DFE">
        <w:rPr>
          <w:rFonts w:ascii="Times New Roman" w:eastAsia="Times New Roman" w:hAnsi="Times New Roman" w:cs="Times New Roman"/>
          <w:sz w:val="24"/>
          <w:szCs w:val="24"/>
          <w:lang w:eastAsia="it-IT"/>
        </w:rPr>
        <w:t xml:space="preserve">, due volte l’anno, entro il </w:t>
      </w:r>
      <w:r w:rsidR="00FE3B93" w:rsidRPr="007D1DFE">
        <w:rPr>
          <w:rFonts w:ascii="Times New Roman" w:eastAsia="Times New Roman" w:hAnsi="Times New Roman" w:cs="Times New Roman"/>
          <w:sz w:val="24"/>
          <w:szCs w:val="24"/>
          <w:lang w:eastAsia="it-IT"/>
        </w:rPr>
        <w:t>3</w:t>
      </w:r>
      <w:r w:rsidR="005B4EFA" w:rsidRPr="007D1DFE">
        <w:rPr>
          <w:rFonts w:ascii="Times New Roman" w:eastAsia="Times New Roman" w:hAnsi="Times New Roman" w:cs="Times New Roman"/>
          <w:sz w:val="24"/>
          <w:szCs w:val="24"/>
          <w:lang w:eastAsia="it-IT"/>
        </w:rPr>
        <w:t>1</w:t>
      </w:r>
      <w:r w:rsidRPr="007D1DFE">
        <w:rPr>
          <w:rFonts w:ascii="Times New Roman" w:eastAsia="Times New Roman" w:hAnsi="Times New Roman" w:cs="Times New Roman"/>
          <w:sz w:val="24"/>
          <w:szCs w:val="24"/>
          <w:lang w:eastAsia="it-IT"/>
        </w:rPr>
        <w:t xml:space="preserve"> gennaio ed entro il 15 luglio, gli esiti dell’attività di monitoraggio espletata.</w:t>
      </w:r>
    </w:p>
    <w:p w:rsidR="009903C3" w:rsidRPr="007D1DFE"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contextualSpacing/>
        <w:jc w:val="both"/>
        <w:rPr>
          <w:rFonts w:ascii="Times New Roman" w:eastAsia="Times New Roman" w:hAnsi="Times New Roman" w:cs="Times New Roman"/>
          <w:sz w:val="24"/>
          <w:szCs w:val="24"/>
          <w:lang w:eastAsia="it-IT"/>
        </w:rPr>
      </w:pPr>
    </w:p>
    <w:p w:rsidR="009903C3" w:rsidRPr="007D1DFE" w:rsidRDefault="009903C3" w:rsidP="007D1DF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Compiti dell’Organismo Indipendente di Valutazione (OIV) in relazione agli obiettivi di trasparenza.</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 xml:space="preserve">Ai sensi dell’articolo 44 del d. </w:t>
      </w:r>
      <w:proofErr w:type="spellStart"/>
      <w:r w:rsidRPr="007D1DFE">
        <w:rPr>
          <w:rFonts w:ascii="Times New Roman" w:eastAsia="Times New Roman" w:hAnsi="Times New Roman" w:cs="Times New Roman"/>
          <w:sz w:val="24"/>
          <w:szCs w:val="24"/>
          <w:lang w:eastAsia="it-IT"/>
        </w:rPr>
        <w:t>lgs</w:t>
      </w:r>
      <w:proofErr w:type="spellEnd"/>
      <w:r w:rsidRPr="007D1DFE">
        <w:rPr>
          <w:rFonts w:ascii="Times New Roman" w:eastAsia="Times New Roman" w:hAnsi="Times New Roman" w:cs="Times New Roman"/>
          <w:sz w:val="24"/>
          <w:szCs w:val="24"/>
          <w:lang w:eastAsia="it-IT"/>
        </w:rPr>
        <w:t xml:space="preserve">. 33/2013 e ss.mm., l'OIV verifica la coerenza tra gli obiettivi di trasparenza previsti nel </w:t>
      </w:r>
      <w:r w:rsidR="00896E6B" w:rsidRPr="007D1DFE">
        <w:rPr>
          <w:rFonts w:ascii="Times New Roman" w:eastAsia="Times New Roman" w:hAnsi="Times New Roman" w:cs="Times New Roman"/>
          <w:sz w:val="24"/>
          <w:szCs w:val="24"/>
          <w:lang w:eastAsia="it-IT"/>
        </w:rPr>
        <w:t>PTPC</w:t>
      </w:r>
      <w:r w:rsidRPr="007D1DFE">
        <w:rPr>
          <w:rFonts w:ascii="Times New Roman" w:eastAsia="Times New Roman" w:hAnsi="Times New Roman" w:cs="Times New Roman"/>
          <w:sz w:val="24"/>
          <w:szCs w:val="24"/>
          <w:lang w:eastAsia="it-IT"/>
        </w:rPr>
        <w:t xml:space="preserve"> e quelli indicati nel Piano della prestazione e dei risultati (Performance). Le informazioni e i dati relativi all'attuazione degli obblighi di trasparenza sono valutati dall’OIV ai fini della misurazione delle prestazioni sia a livello organizzativo sia individuale dei dirigenti. </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sz w:val="24"/>
          <w:szCs w:val="24"/>
          <w:lang w:eastAsia="it-IT"/>
        </w:rPr>
        <w:t xml:space="preserve"> </w:t>
      </w:r>
      <w:r w:rsidRPr="007D1DFE">
        <w:rPr>
          <w:rFonts w:ascii="Times New Roman" w:eastAsia="Times New Roman" w:hAnsi="Times New Roman" w:cs="Times New Roman"/>
          <w:b/>
          <w:sz w:val="24"/>
          <w:szCs w:val="24"/>
          <w:lang w:eastAsia="it-IT"/>
        </w:rPr>
        <w:t>9. Misure ulteriori per la trasparenza.</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lang w:eastAsia="it-IT"/>
        </w:rPr>
      </w:pP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ab/>
      </w:r>
      <w:r w:rsidRPr="007D1DFE">
        <w:rPr>
          <w:rFonts w:ascii="Times New Roman" w:eastAsia="Times New Roman" w:hAnsi="Times New Roman" w:cs="Times New Roman"/>
          <w:sz w:val="24"/>
          <w:szCs w:val="24"/>
          <w:lang w:eastAsia="it-IT"/>
        </w:rPr>
        <w:t>Come già anticipato in precedenza, l’Amministrazione è tenuta, ai sensi dell’art. 10, c. 3, del d.lgs. 33/2013 e ss.mm., a porsi come obiettivo strategico quello di promuovere maggiori livelli di trasparenza, “</w:t>
      </w:r>
      <w:r w:rsidRPr="007D1DFE">
        <w:rPr>
          <w:rFonts w:ascii="Times New Roman" w:eastAsia="Times New Roman" w:hAnsi="Times New Roman" w:cs="Times New Roman"/>
          <w:i/>
          <w:sz w:val="24"/>
          <w:szCs w:val="24"/>
          <w:lang w:eastAsia="it-IT"/>
        </w:rPr>
        <w:t>che deve tradursi nella definizione di obiettivi organizzativi e individuali</w:t>
      </w:r>
      <w:r w:rsidRPr="007D1DFE">
        <w:rPr>
          <w:rFonts w:ascii="Times New Roman" w:eastAsia="Times New Roman" w:hAnsi="Times New Roman" w:cs="Times New Roman"/>
          <w:sz w:val="24"/>
          <w:szCs w:val="24"/>
          <w:lang w:eastAsia="it-IT"/>
        </w:rPr>
        <w:t>”.</w:t>
      </w:r>
    </w:p>
    <w:p w:rsidR="009903C3" w:rsidRPr="007D1DFE" w:rsidRDefault="009903C3"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b/>
        <w:t>In conformità a tale disposto, l’Amministrazione individua qual</w:t>
      </w:r>
      <w:r w:rsidR="00071AEF" w:rsidRPr="007D1DFE">
        <w:rPr>
          <w:rFonts w:ascii="Times New Roman" w:eastAsia="Times New Roman" w:hAnsi="Times New Roman" w:cs="Times New Roman"/>
          <w:sz w:val="24"/>
          <w:szCs w:val="24"/>
          <w:lang w:eastAsia="it-IT"/>
        </w:rPr>
        <w:t>e</w:t>
      </w:r>
      <w:r w:rsidRPr="007D1DFE">
        <w:rPr>
          <w:rFonts w:ascii="Times New Roman" w:eastAsia="Times New Roman" w:hAnsi="Times New Roman" w:cs="Times New Roman"/>
          <w:sz w:val="24"/>
          <w:szCs w:val="24"/>
          <w:lang w:eastAsia="it-IT"/>
        </w:rPr>
        <w:t xml:space="preserve"> ulterior</w:t>
      </w:r>
      <w:r w:rsidR="00071AEF" w:rsidRPr="007D1DFE">
        <w:rPr>
          <w:rFonts w:ascii="Times New Roman" w:eastAsia="Times New Roman" w:hAnsi="Times New Roman" w:cs="Times New Roman"/>
          <w:sz w:val="24"/>
          <w:szCs w:val="24"/>
          <w:lang w:eastAsia="it-IT"/>
        </w:rPr>
        <w:t>e</w:t>
      </w:r>
      <w:r w:rsidRPr="007D1DFE">
        <w:rPr>
          <w:rFonts w:ascii="Times New Roman" w:eastAsia="Times New Roman" w:hAnsi="Times New Roman" w:cs="Times New Roman"/>
          <w:sz w:val="24"/>
          <w:szCs w:val="24"/>
          <w:lang w:eastAsia="it-IT"/>
        </w:rPr>
        <w:t xml:space="preserve"> misur</w:t>
      </w:r>
      <w:r w:rsidR="00071AEF" w:rsidRPr="007D1DFE">
        <w:rPr>
          <w:rFonts w:ascii="Times New Roman" w:eastAsia="Times New Roman" w:hAnsi="Times New Roman" w:cs="Times New Roman"/>
          <w:sz w:val="24"/>
          <w:szCs w:val="24"/>
          <w:lang w:eastAsia="it-IT"/>
        </w:rPr>
        <w:t>a</w:t>
      </w:r>
      <w:r w:rsidRPr="007D1DFE">
        <w:rPr>
          <w:rFonts w:ascii="Times New Roman" w:eastAsia="Times New Roman" w:hAnsi="Times New Roman" w:cs="Times New Roman"/>
          <w:sz w:val="24"/>
          <w:szCs w:val="24"/>
          <w:lang w:eastAsia="it-IT"/>
        </w:rPr>
        <w:t xml:space="preserve"> per la trasparenza, cui corrispondono relativi obblighi a carico del responsabile della trasmissione dei dati</w:t>
      </w:r>
      <w:r w:rsidR="00591CAE" w:rsidRPr="007D1DFE">
        <w:rPr>
          <w:rFonts w:ascii="Times New Roman" w:eastAsia="Times New Roman" w:hAnsi="Times New Roman" w:cs="Times New Roman"/>
          <w:sz w:val="24"/>
          <w:szCs w:val="24"/>
          <w:lang w:eastAsia="it-IT"/>
        </w:rPr>
        <w:t>,</w:t>
      </w:r>
      <w:r w:rsidR="0060234A" w:rsidRPr="007D1DFE">
        <w:rPr>
          <w:rFonts w:ascii="Times New Roman" w:eastAsia="Times New Roman" w:hAnsi="Times New Roman" w:cs="Times New Roman"/>
          <w:sz w:val="24"/>
          <w:szCs w:val="24"/>
          <w:lang w:eastAsia="it-IT"/>
        </w:rPr>
        <w:t xml:space="preserve"> la pubblicazione</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del monitoraggio concernente il rispetto dei tempi, previsti da leggi o regolamenti, per la conclusione dei procedimenti </w:t>
      </w:r>
      <w:r w:rsidRPr="007D1DFE">
        <w:rPr>
          <w:rFonts w:ascii="Times New Roman" w:eastAsia="Times New Roman" w:hAnsi="Times New Roman" w:cs="Times New Roman"/>
          <w:sz w:val="24"/>
          <w:szCs w:val="24"/>
          <w:vertAlign w:val="superscript"/>
          <w:lang w:eastAsia="it-IT"/>
        </w:rPr>
        <w:footnoteReference w:id="62"/>
      </w:r>
      <w:r w:rsidRPr="007D1DFE">
        <w:rPr>
          <w:rFonts w:ascii="Times New Roman" w:eastAsia="Times New Roman" w:hAnsi="Times New Roman" w:cs="Times New Roman"/>
          <w:sz w:val="24"/>
          <w:szCs w:val="24"/>
          <w:lang w:eastAsia="it-IT"/>
        </w:rPr>
        <w:t>;</w:t>
      </w:r>
      <w:r w:rsidRPr="007D1DFE">
        <w:t xml:space="preserve"> </w:t>
      </w:r>
      <w:r w:rsidRPr="007D1DFE">
        <w:rPr>
          <w:rFonts w:asciiTheme="majorHAnsi" w:hAnsiTheme="majorHAnsi" w:cstheme="majorHAnsi"/>
          <w:sz w:val="24"/>
          <w:szCs w:val="24"/>
        </w:rPr>
        <w:t>p</w:t>
      </w:r>
      <w:r w:rsidRPr="007D1DFE">
        <w:rPr>
          <w:rFonts w:ascii="Times New Roman" w:eastAsia="Times New Roman" w:hAnsi="Times New Roman" w:cs="Times New Roman"/>
          <w:sz w:val="24"/>
          <w:szCs w:val="24"/>
          <w:lang w:eastAsia="it-IT"/>
        </w:rPr>
        <w:t xml:space="preserve">ertanto, ciascun dirigente della struttura competente in ordine alla specifica tipologia di procedimento è tenuto a trasmettere all’U.R.P., che ne curerà la pubblicazione su A.T., due report annuali - il primo entro il mese di gennaio ed il </w:t>
      </w:r>
      <w:r w:rsidRPr="007D1DFE">
        <w:rPr>
          <w:rFonts w:ascii="Times New Roman" w:eastAsia="Times New Roman" w:hAnsi="Times New Roman" w:cs="Times New Roman"/>
          <w:sz w:val="24"/>
          <w:szCs w:val="24"/>
          <w:lang w:eastAsia="it-IT"/>
        </w:rPr>
        <w:lastRenderedPageBreak/>
        <w:t>secondo entro quello di luglio - relativi ai tempi medi di conclusione per ciascuna tipologia di procedimenti amministrativi, relativi rispettivamente al secondo semestre dell’anno precedente ed al primo semestre dell’anno in corso</w:t>
      </w:r>
      <w:r w:rsidR="0060234A" w:rsidRPr="007D1DFE">
        <w:rPr>
          <w:rFonts w:ascii="Times New Roman" w:eastAsia="Times New Roman" w:hAnsi="Times New Roman" w:cs="Times New Roman"/>
          <w:sz w:val="24"/>
          <w:szCs w:val="24"/>
          <w:lang w:eastAsia="it-IT"/>
        </w:rPr>
        <w:t>;</w:t>
      </w:r>
    </w:p>
    <w:p w:rsidR="009903C3" w:rsidRPr="007D1DFE" w:rsidRDefault="0060234A" w:rsidP="007D1DF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del numero delle sedute dell’Aula cui ha partecipato ciascun Consigliere regionale nonché la percentuale dei tassi di presenza.</w:t>
      </w:r>
    </w:p>
    <w:p w:rsidR="0060234A" w:rsidRPr="007D1DFE" w:rsidRDefault="0060234A" w:rsidP="007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60"/>
        <w:contextualSpacing/>
        <w:jc w:val="both"/>
        <w:rPr>
          <w:rFonts w:ascii="Times New Roman" w:eastAsia="Times New Roman" w:hAnsi="Times New Roman" w:cs="Times New Roman"/>
          <w:sz w:val="24"/>
          <w:szCs w:val="24"/>
          <w:lang w:eastAsia="it-IT"/>
        </w:rPr>
      </w:pPr>
    </w:p>
    <w:p w:rsidR="009903C3" w:rsidRPr="007D1DFE" w:rsidRDefault="009903C3" w:rsidP="007D1DFE">
      <w:pPr>
        <w:widowControl w:val="0"/>
        <w:suppressAutoHyphens/>
        <w:autoSpaceDN w:val="0"/>
        <w:spacing w:line="240" w:lineRule="auto"/>
        <w:jc w:val="both"/>
        <w:textAlignment w:val="baseline"/>
        <w:rPr>
          <w:rFonts w:ascii="Times New Roman" w:eastAsia="Times New Roman" w:hAnsi="Times New Roman" w:cs="Times New Roman"/>
          <w:sz w:val="24"/>
          <w:szCs w:val="24"/>
          <w:lang w:eastAsia="it-IT"/>
        </w:rPr>
      </w:pPr>
      <w:r w:rsidRPr="007D1DFE">
        <w:rPr>
          <w:rFonts w:ascii="Times New Roman" w:eastAsia="Times New Roman" w:hAnsi="Times New Roman" w:cs="Times New Roman"/>
          <w:b/>
          <w:sz w:val="24"/>
          <w:szCs w:val="24"/>
          <w:lang w:eastAsia="it-IT"/>
        </w:rPr>
        <w:t>10. Rilevazione quantitativa degli accessi alla sezione “Amministrazione trasparente”.</w:t>
      </w:r>
      <w:r w:rsidRPr="007D1DFE">
        <w:rPr>
          <w:rFonts w:ascii="Times New Roman" w:eastAsia="Times New Roman" w:hAnsi="Times New Roman" w:cs="Times New Roman"/>
          <w:sz w:val="24"/>
          <w:szCs w:val="24"/>
          <w:lang w:eastAsia="it-IT"/>
        </w:rPr>
        <w:t xml:space="preserve"> </w:t>
      </w:r>
    </w:p>
    <w:p w:rsidR="009903C3" w:rsidRPr="007D1DFE" w:rsidRDefault="009903C3" w:rsidP="007D1DFE">
      <w:pPr>
        <w:spacing w:line="240" w:lineRule="auto"/>
        <w:contextualSpacing/>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A partire dal 2014 si è provveduto a pubblicare tra i “Dati ulteriori” i risultati della rilevazione quantitativa, per ciascuna mensilità, degli accessi alla sezione “</w:t>
      </w:r>
      <w:r w:rsidRPr="007D1DFE">
        <w:rPr>
          <w:rFonts w:ascii="Times New Roman" w:eastAsia="Times New Roman" w:hAnsi="Times New Roman" w:cs="Times New Roman"/>
          <w:i/>
          <w:sz w:val="24"/>
          <w:szCs w:val="24"/>
          <w:lang w:eastAsia="it-IT"/>
        </w:rPr>
        <w:t>Amministrazione trasparente</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contextualSpacing/>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 pubblicazione di tali risultati proseguirà anche nel triennio 201</w:t>
      </w:r>
      <w:r w:rsidR="00591CAE" w:rsidRPr="007D1DFE">
        <w:rPr>
          <w:rFonts w:ascii="Times New Roman" w:eastAsia="Times New Roman" w:hAnsi="Times New Roman" w:cs="Times New Roman"/>
          <w:sz w:val="24"/>
          <w:szCs w:val="24"/>
          <w:lang w:eastAsia="it-IT"/>
        </w:rPr>
        <w:t>9</w:t>
      </w:r>
      <w:r w:rsidRPr="007D1DFE">
        <w:rPr>
          <w:rFonts w:ascii="Times New Roman" w:eastAsia="Times New Roman" w:hAnsi="Times New Roman" w:cs="Times New Roman"/>
          <w:sz w:val="24"/>
          <w:szCs w:val="24"/>
          <w:lang w:eastAsia="it-IT"/>
        </w:rPr>
        <w:t xml:space="preserve"> – 20</w:t>
      </w:r>
      <w:r w:rsidR="005D32AF" w:rsidRPr="007D1DFE">
        <w:rPr>
          <w:rFonts w:ascii="Times New Roman" w:eastAsia="Times New Roman" w:hAnsi="Times New Roman" w:cs="Times New Roman"/>
          <w:sz w:val="24"/>
          <w:szCs w:val="24"/>
          <w:lang w:eastAsia="it-IT"/>
        </w:rPr>
        <w:t>2</w:t>
      </w:r>
      <w:r w:rsidR="00591CAE" w:rsidRPr="007D1DFE">
        <w:rPr>
          <w:rFonts w:ascii="Times New Roman" w:eastAsia="Times New Roman" w:hAnsi="Times New Roman" w:cs="Times New Roman"/>
          <w:sz w:val="24"/>
          <w:szCs w:val="24"/>
          <w:lang w:eastAsia="it-IT"/>
        </w:rPr>
        <w:t>1</w:t>
      </w:r>
      <w:r w:rsidRPr="007D1DFE">
        <w:rPr>
          <w:rFonts w:ascii="Times New Roman" w:eastAsia="Times New Roman" w:hAnsi="Times New Roman" w:cs="Times New Roman"/>
          <w:sz w:val="24"/>
          <w:szCs w:val="24"/>
          <w:lang w:eastAsia="it-IT"/>
        </w:rPr>
        <w:t xml:space="preserve">, ritenendo che la raccolta dei dati di accesso costituisca un indicatore per misurare periodicamente il livello di conoscenza di “Amministrazione Trasparente”. </w:t>
      </w:r>
    </w:p>
    <w:p w:rsidR="009903C3" w:rsidRPr="007D1DFE" w:rsidRDefault="009903C3" w:rsidP="007D1DFE">
      <w:pPr>
        <w:spacing w:line="240" w:lineRule="auto"/>
        <w:contextualSpacing/>
        <w:jc w:val="both"/>
        <w:rPr>
          <w:rFonts w:ascii="Times New Roman" w:eastAsia="Times New Roman" w:hAnsi="Times New Roman" w:cs="Times New Roman"/>
          <w:b/>
          <w:sz w:val="24"/>
          <w:szCs w:val="24"/>
          <w:lang w:eastAsia="it-IT"/>
        </w:rPr>
      </w:pPr>
    </w:p>
    <w:p w:rsidR="009903C3" w:rsidRPr="007D1DFE" w:rsidRDefault="009903C3" w:rsidP="007D1DFE">
      <w:pPr>
        <w:spacing w:line="240" w:lineRule="auto"/>
        <w:contextualSpacing/>
        <w:jc w:val="both"/>
        <w:rPr>
          <w:rFonts w:ascii="Times New Roman" w:eastAsia="Times New Roman" w:hAnsi="Times New Roman" w:cs="Times New Roman"/>
          <w:b/>
          <w:sz w:val="24"/>
          <w:szCs w:val="24"/>
          <w:lang w:eastAsia="it-IT"/>
        </w:rPr>
      </w:pPr>
    </w:p>
    <w:p w:rsidR="009903C3" w:rsidRPr="007D1DFE" w:rsidRDefault="009903C3" w:rsidP="007D1DFE">
      <w:pPr>
        <w:numPr>
          <w:ilvl w:val="0"/>
          <w:numId w:val="22"/>
        </w:numPr>
        <w:spacing w:line="240" w:lineRule="auto"/>
        <w:contextualSpacing/>
        <w:jc w:val="both"/>
        <w:rPr>
          <w:rFonts w:ascii="Times New Roman" w:eastAsia="Times New Roman" w:hAnsi="Times New Roman" w:cs="Times New Roman"/>
          <w:b/>
          <w:sz w:val="24"/>
          <w:szCs w:val="24"/>
          <w:lang w:eastAsia="it-IT"/>
        </w:rPr>
      </w:pPr>
      <w:r w:rsidRPr="007D1DFE">
        <w:rPr>
          <w:rFonts w:ascii="Times New Roman" w:eastAsia="Times New Roman" w:hAnsi="Times New Roman" w:cs="Times New Roman"/>
          <w:b/>
          <w:sz w:val="24"/>
          <w:szCs w:val="24"/>
          <w:lang w:eastAsia="it-IT"/>
        </w:rPr>
        <w:t xml:space="preserve">Obiettivi di accessibilità. </w:t>
      </w:r>
    </w:p>
    <w:p w:rsidR="009903C3" w:rsidRPr="007D1DFE" w:rsidRDefault="009903C3" w:rsidP="007D1DFE">
      <w:pPr>
        <w:spacing w:line="240" w:lineRule="auto"/>
        <w:jc w:val="both"/>
        <w:rPr>
          <w:rFonts w:ascii="Times New Roman" w:eastAsia="Times New Roman" w:hAnsi="Times New Roman" w:cs="Times New Roman"/>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Gli obiettivi di accessibilità hanno per oggetto ampliamenti dell’accessibilità agli strumenti informatici in favore di soggetti che presentano disabilità.</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La fonte normativa di riferimento è costituita in primo luogo dalla legge 9 gennaio 2004, n. 4 (Disposizioni per favorire l’accesso dei soggetti disabili agli strumenti informatici), come modificata dal decreto legge n. 179/2012, </w:t>
      </w:r>
      <w:proofErr w:type="spellStart"/>
      <w:r w:rsidRPr="007D1DFE">
        <w:rPr>
          <w:rFonts w:ascii="Times New Roman" w:eastAsia="Times New Roman" w:hAnsi="Times New Roman" w:cs="Times New Roman"/>
          <w:sz w:val="24"/>
          <w:szCs w:val="24"/>
          <w:lang w:eastAsia="it-IT"/>
        </w:rPr>
        <w:t>conv</w:t>
      </w:r>
      <w:proofErr w:type="spellEnd"/>
      <w:r w:rsidRPr="007D1DFE">
        <w:rPr>
          <w:rFonts w:ascii="Times New Roman" w:eastAsia="Times New Roman" w:hAnsi="Times New Roman" w:cs="Times New Roman"/>
          <w:sz w:val="24"/>
          <w:szCs w:val="24"/>
          <w:lang w:eastAsia="it-IT"/>
        </w:rPr>
        <w:t>. con modifiche dalla legge n. 221/2012, nonché dal relativo regolamento di attuazione di cui al d.P.R. 1° marzo 2005, n.75.</w:t>
      </w:r>
    </w:p>
    <w:p w:rsidR="009903C3" w:rsidRPr="007D1DFE" w:rsidRDefault="00686FAF"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Successivamente </w:t>
      </w:r>
      <w:r w:rsidR="009903C3" w:rsidRPr="007D1DFE">
        <w:rPr>
          <w:rFonts w:ascii="Times New Roman" w:eastAsia="Times New Roman" w:hAnsi="Times New Roman" w:cs="Times New Roman"/>
          <w:sz w:val="24"/>
          <w:szCs w:val="24"/>
          <w:lang w:eastAsia="it-IT"/>
        </w:rPr>
        <w:t>sulla suddetta materia è intervenuta la circolare n. 61/2013 dell’Agenzia per l’Italia Digitale</w:t>
      </w:r>
      <w:r w:rsidRPr="007D1DFE">
        <w:rPr>
          <w:rFonts w:ascii="Times New Roman" w:eastAsia="Times New Roman" w:hAnsi="Times New Roman" w:cs="Times New Roman"/>
          <w:sz w:val="24"/>
          <w:szCs w:val="24"/>
          <w:lang w:eastAsia="it-IT"/>
        </w:rPr>
        <w:t>,</w:t>
      </w:r>
      <w:r w:rsidR="009903C3" w:rsidRPr="007D1DFE">
        <w:rPr>
          <w:rFonts w:ascii="Times New Roman" w:eastAsia="Times New Roman" w:hAnsi="Times New Roman" w:cs="Times New Roman"/>
          <w:sz w:val="24"/>
          <w:szCs w:val="24"/>
          <w:lang w:eastAsia="it-IT"/>
        </w:rPr>
        <w:t xml:space="preserve"> che ha riepilogato gli adempimenti a carico delle amministrazioni pubbliche.</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La legge n.4/2004 e ss. mm. definisce l’accessibilità in riferimento alla “</w:t>
      </w:r>
      <w:r w:rsidRPr="007D1DFE">
        <w:rPr>
          <w:rFonts w:ascii="Times New Roman" w:eastAsia="Times New Roman" w:hAnsi="Times New Roman" w:cs="Times New Roman"/>
          <w:i/>
          <w:sz w:val="24"/>
          <w:szCs w:val="24"/>
          <w:lang w:eastAsia="it-IT"/>
        </w:rPr>
        <w:t>capacità  dei sistemi informatici … di erogare servizi e fornire informazioni fruibili, senza discriminazioni, anche da parte di coloro che a causa di disabilità necessitano di tecnologie assisti</w:t>
      </w:r>
      <w:r w:rsidR="00906354" w:rsidRPr="007D1DFE">
        <w:rPr>
          <w:rFonts w:ascii="Times New Roman" w:eastAsia="Times New Roman" w:hAnsi="Times New Roman" w:cs="Times New Roman"/>
          <w:i/>
          <w:sz w:val="24"/>
          <w:szCs w:val="24"/>
          <w:lang w:eastAsia="it-IT"/>
        </w:rPr>
        <w:t>t</w:t>
      </w:r>
      <w:r w:rsidRPr="007D1DFE">
        <w:rPr>
          <w:rFonts w:ascii="Times New Roman" w:eastAsia="Times New Roman" w:hAnsi="Times New Roman" w:cs="Times New Roman"/>
          <w:i/>
          <w:sz w:val="24"/>
          <w:szCs w:val="24"/>
          <w:lang w:eastAsia="it-IT"/>
        </w:rPr>
        <w:t>e o configurazioni particolari</w:t>
      </w:r>
      <w:r w:rsidRPr="007D1DFE">
        <w:rPr>
          <w:rFonts w:ascii="Times New Roman" w:eastAsia="Times New Roman" w:hAnsi="Times New Roman" w:cs="Times New Roman"/>
          <w:sz w:val="24"/>
          <w:szCs w:val="24"/>
          <w:lang w:eastAsia="it-IT"/>
        </w:rPr>
        <w:t>”.</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 xml:space="preserve">Tra gli obblighi a carico delle pubbliche amministrazioni vi è, in particolare, quello di rendere accessibili le informazioni presenti sul proprio sito, assicurando così il rispetto dei principi di uguaglianza e di non discriminazione nei confronti di tutti i loro destinatari. </w:t>
      </w:r>
    </w:p>
    <w:p w:rsidR="009903C3" w:rsidRPr="007D1DFE" w:rsidRDefault="009903C3" w:rsidP="007D1DFE">
      <w:pPr>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In raccordo con il gestore del sito sarà verificato il livello di rispondenza dello stesso agli standard previsti.</w:t>
      </w:r>
    </w:p>
    <w:p w:rsidR="009903C3" w:rsidRPr="007D1DFE" w:rsidRDefault="009903C3" w:rsidP="007D1DFE">
      <w:pPr>
        <w:spacing w:line="240" w:lineRule="auto"/>
        <w:ind w:left="720"/>
        <w:jc w:val="both"/>
        <w:rPr>
          <w:rFonts w:ascii="Calibri" w:eastAsia="Times New Roman" w:hAnsi="Calibri" w:cs="Calibri"/>
          <w:sz w:val="24"/>
          <w:szCs w:val="24"/>
          <w:lang w:eastAsia="it-IT"/>
        </w:rPr>
      </w:pPr>
    </w:p>
    <w:p w:rsidR="009903C3" w:rsidRPr="007D1DFE" w:rsidRDefault="009903C3" w:rsidP="007D1DFE">
      <w:pPr>
        <w:spacing w:line="240" w:lineRule="auto"/>
        <w:ind w:firstLine="708"/>
        <w:jc w:val="both"/>
        <w:rPr>
          <w:rFonts w:ascii="Times New Roman" w:eastAsia="Times New Roman" w:hAnsi="Times New Roman" w:cs="Times New Roman"/>
          <w:bCs/>
          <w:sz w:val="24"/>
          <w:szCs w:val="24"/>
          <w:lang w:eastAsia="it-IT"/>
        </w:rPr>
      </w:pPr>
    </w:p>
    <w:p w:rsidR="009903C3" w:rsidRPr="007D1DFE" w:rsidRDefault="009903C3" w:rsidP="007D1DFE">
      <w:pPr>
        <w:numPr>
          <w:ilvl w:val="0"/>
          <w:numId w:val="22"/>
        </w:numPr>
        <w:spacing w:line="240" w:lineRule="auto"/>
        <w:contextualSpacing/>
        <w:jc w:val="both"/>
        <w:rPr>
          <w:rFonts w:ascii="Times New Roman" w:eastAsia="Times New Roman" w:hAnsi="Times New Roman" w:cs="Times New Roman"/>
          <w:b/>
          <w:bCs/>
          <w:sz w:val="24"/>
          <w:szCs w:val="24"/>
          <w:lang w:eastAsia="it-IT"/>
        </w:rPr>
      </w:pPr>
      <w:r w:rsidRPr="007D1DFE">
        <w:rPr>
          <w:rFonts w:ascii="Times New Roman" w:eastAsia="Times New Roman" w:hAnsi="Times New Roman" w:cs="Times New Roman"/>
          <w:b/>
          <w:bCs/>
          <w:sz w:val="24"/>
          <w:szCs w:val="24"/>
          <w:lang w:eastAsia="it-IT"/>
        </w:rPr>
        <w:t>Iniziative per la comunicazione e per la partecipazione. Giornata della Trasparenza.</w:t>
      </w:r>
    </w:p>
    <w:p w:rsidR="009903C3" w:rsidRPr="007D1DFE" w:rsidRDefault="009903C3" w:rsidP="007D1DFE">
      <w:pPr>
        <w:spacing w:line="240" w:lineRule="auto"/>
        <w:jc w:val="both"/>
        <w:rPr>
          <w:rFonts w:ascii="Times New Roman" w:eastAsia="Times New Roman" w:hAnsi="Times New Roman" w:cs="Times New Roman"/>
          <w:i/>
          <w:sz w:val="24"/>
          <w:szCs w:val="24"/>
          <w:u w:val="single"/>
          <w:lang w:eastAsia="it-IT"/>
        </w:rPr>
      </w:pPr>
    </w:p>
    <w:p w:rsidR="009903C3" w:rsidRPr="007D1DFE" w:rsidRDefault="009903C3" w:rsidP="007D1DFE">
      <w:pPr>
        <w:spacing w:line="240" w:lineRule="auto"/>
        <w:ind w:firstLine="708"/>
        <w:jc w:val="both"/>
        <w:rPr>
          <w:rFonts w:ascii="Times New Roman" w:eastAsia="Times New Roman" w:hAnsi="Times New Roman" w:cs="Times New Roman"/>
          <w:i/>
          <w:sz w:val="24"/>
          <w:szCs w:val="24"/>
          <w:lang w:eastAsia="it-IT"/>
        </w:rPr>
      </w:pPr>
      <w:r w:rsidRPr="007D1DFE">
        <w:rPr>
          <w:rFonts w:ascii="Times New Roman" w:eastAsia="Times New Roman" w:hAnsi="Times New Roman" w:cs="Times New Roman"/>
          <w:bCs/>
          <w:sz w:val="24"/>
          <w:szCs w:val="24"/>
          <w:lang w:eastAsia="it-IT"/>
        </w:rPr>
        <w:t>L’</w:t>
      </w:r>
      <w:r w:rsidRPr="007D1DFE">
        <w:rPr>
          <w:rFonts w:ascii="Times New Roman" w:eastAsia="Times New Roman" w:hAnsi="Times New Roman" w:cs="Times New Roman"/>
          <w:sz w:val="24"/>
          <w:szCs w:val="24"/>
          <w:lang w:eastAsia="it-IT"/>
        </w:rPr>
        <w:t>Amministrazione curerà la massima diffusione dei contenuti del presente Programma attraverso i canali della comunicazione istituzionale, nonché in occasione dello svolgimento della “Giornata della Trasparenza”, da tenersi in ciascuna annualità, che veda la partecipazione, in particolare, delle associazioni dei consumatori e degli utenti con un ruolo attivo e di interlocuzione.</w:t>
      </w:r>
    </w:p>
    <w:p w:rsidR="009903C3" w:rsidRPr="00534ED2" w:rsidRDefault="009903C3" w:rsidP="007D1DFE">
      <w:pPr>
        <w:autoSpaceDE w:val="0"/>
        <w:autoSpaceDN w:val="0"/>
        <w:adjustRightInd w:val="0"/>
        <w:spacing w:line="240" w:lineRule="auto"/>
        <w:ind w:firstLine="708"/>
        <w:jc w:val="both"/>
        <w:rPr>
          <w:rFonts w:ascii="Times New Roman" w:eastAsia="Times New Roman" w:hAnsi="Times New Roman" w:cs="Times New Roman"/>
          <w:sz w:val="24"/>
          <w:szCs w:val="24"/>
          <w:lang w:eastAsia="it-IT"/>
        </w:rPr>
      </w:pPr>
      <w:r w:rsidRPr="007D1DFE">
        <w:rPr>
          <w:rFonts w:ascii="Times New Roman" w:eastAsia="Times New Roman" w:hAnsi="Times New Roman" w:cs="Times New Roman"/>
          <w:sz w:val="24"/>
          <w:szCs w:val="24"/>
          <w:lang w:eastAsia="it-IT"/>
        </w:rPr>
        <w:t>L’Ufficio Relazioni con il Pubblico – URP - avrà poi il compito di sviluppare ulteriormente il dialogo con i cittadini, assicurando il loro coinvolgimento, non solo come destinatari di servizi, ma come soggetti partecipativi per la realizzazione degli obiettivi istituzionali.</w:t>
      </w:r>
      <w:r w:rsidRPr="00534ED2">
        <w:rPr>
          <w:rFonts w:ascii="Times New Roman" w:eastAsia="Times New Roman" w:hAnsi="Times New Roman" w:cs="Times New Roman"/>
          <w:sz w:val="24"/>
          <w:szCs w:val="24"/>
          <w:lang w:eastAsia="it-IT"/>
        </w:rPr>
        <w:t xml:space="preserve"> </w:t>
      </w:r>
    </w:p>
    <w:p w:rsidR="009903C3" w:rsidRPr="00534ED2" w:rsidRDefault="009903C3" w:rsidP="007D1DFE"/>
    <w:p w:rsidR="00750AA9" w:rsidRPr="00534ED2" w:rsidRDefault="00750AA9" w:rsidP="007D1DFE"/>
    <w:sectPr w:rsidR="00750AA9" w:rsidRPr="00534ED2" w:rsidSect="005C18FD">
      <w:headerReference w:type="even" r:id="rId11"/>
      <w:headerReference w:type="default" r:id="rId12"/>
      <w:footerReference w:type="even" r:id="rId13"/>
      <w:footerReference w:type="default" r:id="rId14"/>
      <w:headerReference w:type="first" r:id="rId15"/>
      <w:footerReference w:type="first" r:id="rId16"/>
      <w:pgSz w:w="11906" w:h="16838"/>
      <w:pgMar w:top="1531" w:right="1191" w:bottom="153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D0" w:rsidRDefault="007C03D0" w:rsidP="009903C3">
      <w:pPr>
        <w:spacing w:line="240" w:lineRule="auto"/>
      </w:pPr>
      <w:r>
        <w:separator/>
      </w:r>
    </w:p>
  </w:endnote>
  <w:endnote w:type="continuationSeparator" w:id="0">
    <w:p w:rsidR="007C03D0" w:rsidRDefault="007C03D0" w:rsidP="0099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manOldStyle-Italic">
    <w:altName w:val="Cambri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0" w:rsidRDefault="007C03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99491"/>
      <w:docPartObj>
        <w:docPartGallery w:val="Page Numbers (Bottom of Page)"/>
        <w:docPartUnique/>
      </w:docPartObj>
    </w:sdtPr>
    <w:sdtEndPr/>
    <w:sdtContent>
      <w:p w:rsidR="007C03D0" w:rsidRDefault="007C03D0">
        <w:pPr>
          <w:pStyle w:val="Pidipagina"/>
          <w:jc w:val="right"/>
        </w:pPr>
        <w:r>
          <w:fldChar w:fldCharType="begin"/>
        </w:r>
        <w:r>
          <w:instrText>PAGE   \* MERGEFORMAT</w:instrText>
        </w:r>
        <w:r>
          <w:fldChar w:fldCharType="separate"/>
        </w:r>
        <w:r w:rsidR="007314DD">
          <w:rPr>
            <w:noProof/>
          </w:rPr>
          <w:t>40</w:t>
        </w:r>
        <w:r>
          <w:fldChar w:fldCharType="end"/>
        </w:r>
      </w:p>
    </w:sdtContent>
  </w:sdt>
  <w:p w:rsidR="007C03D0" w:rsidRDefault="007C03D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0" w:rsidRDefault="007C03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D0" w:rsidRDefault="007C03D0" w:rsidP="009903C3">
      <w:pPr>
        <w:spacing w:line="240" w:lineRule="auto"/>
      </w:pPr>
      <w:r>
        <w:separator/>
      </w:r>
    </w:p>
  </w:footnote>
  <w:footnote w:type="continuationSeparator" w:id="0">
    <w:p w:rsidR="007C03D0" w:rsidRDefault="007C03D0" w:rsidP="009903C3">
      <w:pPr>
        <w:spacing w:line="240" w:lineRule="auto"/>
      </w:pPr>
      <w:r>
        <w:continuationSeparator/>
      </w:r>
    </w:p>
  </w:footnote>
  <w:footnote w:id="1">
    <w:p w:rsidR="007C03D0" w:rsidRPr="00806553" w:rsidRDefault="007C03D0" w:rsidP="00806553">
      <w:pPr>
        <w:pStyle w:val="Testonotaapidipagina"/>
        <w:jc w:val="both"/>
        <w:rPr>
          <w:sz w:val="22"/>
          <w:szCs w:val="22"/>
        </w:rPr>
      </w:pPr>
      <w:r w:rsidRPr="00806553">
        <w:rPr>
          <w:rStyle w:val="Rimandonotaapidipagina"/>
          <w:sz w:val="22"/>
          <w:szCs w:val="22"/>
        </w:rPr>
        <w:footnoteRef/>
      </w:r>
      <w:r>
        <w:rPr>
          <w:sz w:val="22"/>
          <w:szCs w:val="22"/>
        </w:rPr>
        <w:t xml:space="preserve"> L’Aggiornamento 2018</w:t>
      </w:r>
      <w:r w:rsidRPr="00806553">
        <w:rPr>
          <w:sz w:val="22"/>
          <w:szCs w:val="22"/>
        </w:rPr>
        <w:t xml:space="preserve"> al P.N.A. contiene una prima parte concernente la generalità delle amministrazioni mentre i paragrafi successivi </w:t>
      </w:r>
      <w:r>
        <w:rPr>
          <w:sz w:val="22"/>
          <w:szCs w:val="22"/>
        </w:rPr>
        <w:t>contengono approfondimenti riguardanti le Agenzie Fiscali, le procedure di gestione dei fondi strutturali e dei fondi nazionali per le politiche di coesione, nonché semplificazioni per i piccoli Comuni.</w:t>
      </w:r>
    </w:p>
  </w:footnote>
  <w:footnote w:id="2">
    <w:p w:rsidR="007C03D0" w:rsidRPr="009903C3" w:rsidRDefault="007C03D0" w:rsidP="009903C3">
      <w:pPr>
        <w:pStyle w:val="grassetto1"/>
        <w:spacing w:line="240" w:lineRule="atLeast"/>
        <w:jc w:val="both"/>
        <w:rPr>
          <w:b w:val="0"/>
          <w:sz w:val="22"/>
          <w:szCs w:val="22"/>
        </w:rPr>
      </w:pPr>
      <w:r w:rsidRPr="009903C3">
        <w:rPr>
          <w:rStyle w:val="Rimandonotaapidipagina"/>
          <w:b w:val="0"/>
          <w:sz w:val="22"/>
          <w:szCs w:val="22"/>
        </w:rPr>
        <w:footnoteRef/>
      </w:r>
      <w:r w:rsidRPr="009903C3">
        <w:rPr>
          <w:b w:val="0"/>
          <w:sz w:val="22"/>
          <w:szCs w:val="22"/>
        </w:rPr>
        <w:t xml:space="preserve"> Il </w:t>
      </w:r>
      <w:proofErr w:type="spellStart"/>
      <w:r w:rsidRPr="009903C3">
        <w:rPr>
          <w:b w:val="0"/>
          <w:sz w:val="22"/>
          <w:szCs w:val="22"/>
        </w:rPr>
        <w:t>d.lgs</w:t>
      </w:r>
      <w:proofErr w:type="spellEnd"/>
      <w:r w:rsidRPr="009903C3">
        <w:rPr>
          <w:b w:val="0"/>
          <w:sz w:val="22"/>
          <w:szCs w:val="22"/>
        </w:rPr>
        <w:t xml:space="preserve"> 33/2013 è stato profondamente rinnovato ad opera del decreto legislativo 25 maggio 2016, n. 97 (</w:t>
      </w:r>
      <w:r w:rsidRPr="009903C3">
        <w:rPr>
          <w:b w:val="0"/>
          <w:i/>
          <w:sz w:val="22"/>
          <w:szCs w:val="22"/>
        </w:rPr>
        <w:t xml:space="preserve">Revisione e semplificazione delle disposizioni in materia di prevenzione della corruzione, </w:t>
      </w:r>
      <w:proofErr w:type="spellStart"/>
      <w:r w:rsidRPr="009903C3">
        <w:rPr>
          <w:b w:val="0"/>
          <w:i/>
          <w:sz w:val="22"/>
          <w:szCs w:val="22"/>
        </w:rPr>
        <w:t>pubblicita'</w:t>
      </w:r>
      <w:proofErr w:type="spellEnd"/>
      <w:r w:rsidRPr="009903C3">
        <w:rPr>
          <w:b w:val="0"/>
          <w:i/>
          <w:sz w:val="22"/>
          <w:szCs w:val="22"/>
        </w:rPr>
        <w:t xml:space="preserve"> e trasparenza, correttivo della legge 6 novembre 2012, n. 190 e del decreto legislativo 14 marzo 2013, n. 33, ai sensi dell'articolo 7 della legge 7 agosto 2015, n. 124, in materia di riorganizzazione delle amministrazioni pubbliche</w:t>
      </w:r>
      <w:r w:rsidRPr="009903C3">
        <w:rPr>
          <w:b w:val="0"/>
          <w:sz w:val="22"/>
          <w:szCs w:val="22"/>
        </w:rPr>
        <w:t xml:space="preserve">) attuativo di una delle deleghe conferite dal Parlamento al Governo mediante la legge 7 agosto 2015, n. 124.  </w:t>
      </w:r>
    </w:p>
  </w:footnote>
  <w:footnote w:id="3">
    <w:p w:rsidR="007C03D0" w:rsidRPr="009903C3" w:rsidRDefault="007C03D0" w:rsidP="009903C3">
      <w:pPr>
        <w:pStyle w:val="Testonotaapidipagina"/>
        <w:jc w:val="both"/>
        <w:rPr>
          <w:sz w:val="22"/>
          <w:szCs w:val="22"/>
        </w:rPr>
      </w:pPr>
      <w:r w:rsidRPr="009903C3">
        <w:rPr>
          <w:rStyle w:val="Rimandonotaapidipagina"/>
          <w:sz w:val="22"/>
          <w:szCs w:val="22"/>
        </w:rPr>
        <w:footnoteRef/>
      </w:r>
      <w:r w:rsidRPr="009903C3">
        <w:rPr>
          <w:sz w:val="22"/>
          <w:szCs w:val="22"/>
        </w:rPr>
        <w:t xml:space="preserve"> Si ricordano: il decreto legge 18 ottobre 2012, n. 179, </w:t>
      </w:r>
      <w:proofErr w:type="spellStart"/>
      <w:r w:rsidRPr="009903C3">
        <w:rPr>
          <w:sz w:val="22"/>
          <w:szCs w:val="22"/>
        </w:rPr>
        <w:t>conv</w:t>
      </w:r>
      <w:proofErr w:type="spellEnd"/>
      <w:r w:rsidRPr="009903C3">
        <w:rPr>
          <w:sz w:val="22"/>
          <w:szCs w:val="22"/>
        </w:rPr>
        <w:t xml:space="preserve">. con modifiche dalla L. 17 dicembre 2012, n. 221; la legge 24 dicembre 2012, n. 228; il decreto legge 21 giugno 2013, n. 69, </w:t>
      </w:r>
      <w:proofErr w:type="spellStart"/>
      <w:r w:rsidRPr="009903C3">
        <w:rPr>
          <w:sz w:val="22"/>
          <w:szCs w:val="22"/>
        </w:rPr>
        <w:t>conv</w:t>
      </w:r>
      <w:proofErr w:type="spellEnd"/>
      <w:r w:rsidRPr="009903C3">
        <w:rPr>
          <w:sz w:val="22"/>
          <w:szCs w:val="22"/>
        </w:rPr>
        <w:t xml:space="preserve">. con modifiche dalla L. 9 agosto 2013, n. 98; il decreto legge 24 giugno 2014, n. 90, </w:t>
      </w:r>
      <w:proofErr w:type="spellStart"/>
      <w:r w:rsidRPr="009903C3">
        <w:rPr>
          <w:sz w:val="22"/>
          <w:szCs w:val="22"/>
        </w:rPr>
        <w:t>conv</w:t>
      </w:r>
      <w:proofErr w:type="spellEnd"/>
      <w:r w:rsidRPr="009903C3">
        <w:rPr>
          <w:sz w:val="22"/>
          <w:szCs w:val="22"/>
        </w:rPr>
        <w:t>. con modifiche dalla L. 11 agosto 2014, n. 114; la legge 27 maggio 2015, n. 69; il decreto legislativo 22 gennaio 2016, n. 10; il decreto legislativo 18 aprile 2016, n. 50</w:t>
      </w:r>
      <w:r>
        <w:rPr>
          <w:sz w:val="22"/>
          <w:szCs w:val="22"/>
        </w:rPr>
        <w:t xml:space="preserve">; il decreto legislativo </w:t>
      </w:r>
      <w:r w:rsidRPr="008C187E">
        <w:rPr>
          <w:sz w:val="22"/>
          <w:szCs w:val="22"/>
        </w:rPr>
        <w:t>19 aprile 2017, n. 56</w:t>
      </w:r>
      <w:r>
        <w:rPr>
          <w:sz w:val="22"/>
          <w:szCs w:val="22"/>
        </w:rPr>
        <w:t xml:space="preserve">, </w:t>
      </w:r>
      <w:proofErr w:type="gramStart"/>
      <w:r>
        <w:rPr>
          <w:sz w:val="22"/>
          <w:szCs w:val="22"/>
        </w:rPr>
        <w:t xml:space="preserve">che, </w:t>
      </w:r>
      <w:r w:rsidRPr="00D865AD">
        <w:rPr>
          <w:sz w:val="22"/>
          <w:szCs w:val="22"/>
        </w:rPr>
        <w:t xml:space="preserve"> nel</w:t>
      </w:r>
      <w:proofErr w:type="gramEnd"/>
      <w:r w:rsidRPr="00D865AD">
        <w:rPr>
          <w:sz w:val="22"/>
          <w:szCs w:val="22"/>
        </w:rPr>
        <w:t xml:space="preserve"> modificare l'art. 217, comma 1, lettera ii) del decreto legislativo 18 aprile 2016, n. 50, ha conseguentemente disposto (con l'art. 129, comma 1, lettera h)) l'abrogazione della lette</w:t>
      </w:r>
      <w:r>
        <w:rPr>
          <w:sz w:val="22"/>
          <w:szCs w:val="22"/>
        </w:rPr>
        <w:t>ra f-bis) dell'art. 1, comma 2</w:t>
      </w:r>
      <w:r w:rsidRPr="009903C3">
        <w:rPr>
          <w:sz w:val="22"/>
          <w:szCs w:val="22"/>
        </w:rPr>
        <w:t xml:space="preserve"> </w:t>
      </w:r>
    </w:p>
  </w:footnote>
  <w:footnote w:id="4">
    <w:p w:rsidR="007C03D0" w:rsidRPr="003606D5" w:rsidRDefault="007C03D0">
      <w:pPr>
        <w:pStyle w:val="Testonotaapidipagina"/>
        <w:rPr>
          <w:sz w:val="22"/>
          <w:szCs w:val="22"/>
        </w:rPr>
      </w:pPr>
      <w:r w:rsidRPr="003606D5">
        <w:rPr>
          <w:rStyle w:val="Rimandonotaapidipagina"/>
          <w:sz w:val="22"/>
          <w:szCs w:val="22"/>
        </w:rPr>
        <w:footnoteRef/>
      </w:r>
      <w:r w:rsidRPr="003606D5">
        <w:rPr>
          <w:sz w:val="22"/>
          <w:szCs w:val="22"/>
        </w:rPr>
        <w:t xml:space="preserve"> Fonte ISTAT, elaborazione: </w:t>
      </w:r>
      <w:hyperlink r:id="rId1" w:history="1">
        <w:r w:rsidRPr="003606D5">
          <w:rPr>
            <w:rStyle w:val="Collegamentoipertestuale"/>
            <w:sz w:val="22"/>
            <w:szCs w:val="22"/>
          </w:rPr>
          <w:t>www.tuttitalia.it</w:t>
        </w:r>
      </w:hyperlink>
      <w:r w:rsidRPr="003606D5">
        <w:rPr>
          <w:sz w:val="22"/>
          <w:szCs w:val="22"/>
        </w:rPr>
        <w:t xml:space="preserve">. </w:t>
      </w:r>
    </w:p>
  </w:footnote>
  <w:footnote w:id="5">
    <w:p w:rsidR="007C03D0" w:rsidRPr="005D77F7" w:rsidRDefault="007C03D0" w:rsidP="009903C3">
      <w:pPr>
        <w:pStyle w:val="Testonotaapidipagina"/>
        <w:jc w:val="both"/>
        <w:rPr>
          <w:sz w:val="22"/>
          <w:szCs w:val="22"/>
        </w:rPr>
      </w:pPr>
      <w:r w:rsidRPr="005D77F7">
        <w:rPr>
          <w:rStyle w:val="Rimandonotaapidipagina"/>
          <w:sz w:val="22"/>
          <w:szCs w:val="22"/>
        </w:rPr>
        <w:footnoteRef/>
      </w:r>
      <w:r w:rsidRPr="005D77F7">
        <w:rPr>
          <w:sz w:val="22"/>
          <w:szCs w:val="22"/>
        </w:rPr>
        <w:t xml:space="preserve"> </w:t>
      </w:r>
      <w:proofErr w:type="spellStart"/>
      <w:r w:rsidRPr="005D77F7">
        <w:rPr>
          <w:sz w:val="22"/>
          <w:szCs w:val="22"/>
        </w:rPr>
        <w:t>Unioncamere</w:t>
      </w:r>
      <w:proofErr w:type="spellEnd"/>
      <w:r w:rsidRPr="005D77F7">
        <w:rPr>
          <w:sz w:val="22"/>
          <w:szCs w:val="22"/>
        </w:rPr>
        <w:t xml:space="preserve"> Lazio, Relazione sulla situazione economica del Lazio 2013/2014, Franco Angeli, 2014 Milano.</w:t>
      </w:r>
    </w:p>
  </w:footnote>
  <w:footnote w:id="6">
    <w:p w:rsidR="007C03D0" w:rsidRPr="009903C3" w:rsidRDefault="007C03D0" w:rsidP="002569DA">
      <w:pPr>
        <w:pStyle w:val="Testonotaapidipagina"/>
        <w:jc w:val="both"/>
        <w:rPr>
          <w:sz w:val="22"/>
          <w:szCs w:val="22"/>
        </w:rPr>
      </w:pPr>
      <w:r w:rsidRPr="009903C3">
        <w:rPr>
          <w:rStyle w:val="Rimandonotaapidipagina"/>
          <w:sz w:val="22"/>
          <w:szCs w:val="22"/>
        </w:rPr>
        <w:footnoteRef/>
      </w:r>
      <w:r w:rsidRPr="009903C3">
        <w:rPr>
          <w:sz w:val="22"/>
          <w:szCs w:val="22"/>
        </w:rPr>
        <w:t xml:space="preserve"> Fonte </w:t>
      </w:r>
      <w:proofErr w:type="spellStart"/>
      <w:r w:rsidRPr="009903C3">
        <w:rPr>
          <w:sz w:val="22"/>
          <w:szCs w:val="22"/>
        </w:rPr>
        <w:t>Prometeia</w:t>
      </w:r>
      <w:proofErr w:type="spellEnd"/>
      <w:r w:rsidRPr="009903C3">
        <w:rPr>
          <w:sz w:val="22"/>
          <w:szCs w:val="22"/>
        </w:rPr>
        <w:t>, citata nella pubblicazione della Banca d’Italia “L’economia del Lazio”, giugno 2016, pag. 6.</w:t>
      </w:r>
    </w:p>
  </w:footnote>
  <w:footnote w:id="7">
    <w:p w:rsidR="007C03D0" w:rsidRDefault="007C03D0">
      <w:pPr>
        <w:pStyle w:val="Testonotaapidipagina"/>
      </w:pPr>
      <w:r w:rsidRPr="00B028CD">
        <w:rPr>
          <w:rStyle w:val="Rimandonotaapidipagina"/>
          <w:sz w:val="22"/>
          <w:szCs w:val="22"/>
        </w:rPr>
        <w:footnoteRef/>
      </w:r>
      <w:r w:rsidRPr="00B028CD">
        <w:rPr>
          <w:sz w:val="22"/>
          <w:szCs w:val="22"/>
        </w:rPr>
        <w:t xml:space="preserve"> Pubblicazione della Banca d’Italia “</w:t>
      </w:r>
      <w:r w:rsidRPr="00B028CD">
        <w:rPr>
          <w:i/>
          <w:sz w:val="22"/>
          <w:szCs w:val="22"/>
        </w:rPr>
        <w:t>Economie regionali. L’economia del Lazio</w:t>
      </w:r>
      <w:r w:rsidRPr="00B028CD">
        <w:rPr>
          <w:sz w:val="22"/>
          <w:szCs w:val="22"/>
        </w:rPr>
        <w:t xml:space="preserve">”, </w:t>
      </w:r>
      <w:proofErr w:type="spellStart"/>
      <w:r w:rsidRPr="00B028CD">
        <w:rPr>
          <w:sz w:val="22"/>
          <w:szCs w:val="22"/>
        </w:rPr>
        <w:t>Num</w:t>
      </w:r>
      <w:proofErr w:type="spellEnd"/>
      <w:r w:rsidRPr="00B028CD">
        <w:rPr>
          <w:sz w:val="22"/>
          <w:szCs w:val="22"/>
        </w:rPr>
        <w:t>. 12 - giugno 2017, pag. 5.</w:t>
      </w:r>
    </w:p>
  </w:footnote>
  <w:footnote w:id="8">
    <w:p w:rsidR="007C03D0" w:rsidRPr="00684C81" w:rsidRDefault="007C03D0">
      <w:pPr>
        <w:pStyle w:val="Testonotaapidipagina"/>
        <w:rPr>
          <w:sz w:val="22"/>
          <w:szCs w:val="22"/>
        </w:rPr>
      </w:pPr>
      <w:r w:rsidRPr="00684C81">
        <w:rPr>
          <w:rStyle w:val="Rimandonotaapidipagina"/>
          <w:sz w:val="22"/>
          <w:szCs w:val="22"/>
        </w:rPr>
        <w:footnoteRef/>
      </w:r>
      <w:r w:rsidRPr="00684C81">
        <w:rPr>
          <w:sz w:val="22"/>
          <w:szCs w:val="22"/>
        </w:rPr>
        <w:t xml:space="preserve"> Si veda </w:t>
      </w:r>
      <w:proofErr w:type="gramStart"/>
      <w:r w:rsidRPr="00684C81">
        <w:rPr>
          <w:sz w:val="22"/>
          <w:szCs w:val="22"/>
        </w:rPr>
        <w:t>l’ “</w:t>
      </w:r>
      <w:proofErr w:type="gramEnd"/>
      <w:r w:rsidRPr="00684C81">
        <w:rPr>
          <w:sz w:val="22"/>
          <w:szCs w:val="22"/>
        </w:rPr>
        <w:t>Aggiornamento congiunturale” della pubblicazione indicata alla nota 7.</w:t>
      </w:r>
    </w:p>
  </w:footnote>
  <w:footnote w:id="9">
    <w:p w:rsidR="007C03D0" w:rsidRPr="00684C81" w:rsidRDefault="007C03D0">
      <w:pPr>
        <w:pStyle w:val="Testonotaapidipagina"/>
        <w:rPr>
          <w:sz w:val="22"/>
          <w:szCs w:val="22"/>
        </w:rPr>
      </w:pPr>
      <w:r w:rsidRPr="00684C81">
        <w:rPr>
          <w:rStyle w:val="Rimandonotaapidipagina"/>
          <w:sz w:val="22"/>
          <w:szCs w:val="22"/>
        </w:rPr>
        <w:footnoteRef/>
      </w:r>
      <w:r w:rsidRPr="00684C81">
        <w:rPr>
          <w:sz w:val="22"/>
          <w:szCs w:val="22"/>
        </w:rPr>
        <w:t xml:space="preserve"> </w:t>
      </w:r>
      <w:r w:rsidRPr="00023193">
        <w:rPr>
          <w:i/>
          <w:sz w:val="22"/>
          <w:szCs w:val="22"/>
        </w:rPr>
        <w:t xml:space="preserve">Pubblicazione della Banca d’Italia “Economie regionali. L’economia del Lazio”, Aggiornamento congiunturale </w:t>
      </w:r>
      <w:proofErr w:type="spellStart"/>
      <w:r w:rsidRPr="00023193">
        <w:rPr>
          <w:i/>
          <w:sz w:val="22"/>
          <w:szCs w:val="22"/>
        </w:rPr>
        <w:t>Num</w:t>
      </w:r>
      <w:proofErr w:type="spellEnd"/>
      <w:r w:rsidRPr="00023193">
        <w:rPr>
          <w:i/>
          <w:sz w:val="22"/>
          <w:szCs w:val="22"/>
        </w:rPr>
        <w:t xml:space="preserve">. 36 –  novembre 2018, pag. </w:t>
      </w:r>
      <w:proofErr w:type="gramStart"/>
      <w:r w:rsidRPr="00023193">
        <w:rPr>
          <w:i/>
          <w:sz w:val="22"/>
          <w:szCs w:val="22"/>
        </w:rPr>
        <w:t>5..</w:t>
      </w:r>
      <w:proofErr w:type="gramEnd"/>
    </w:p>
  </w:footnote>
  <w:footnote w:id="10">
    <w:p w:rsidR="007C03D0" w:rsidRPr="00CB3CC5" w:rsidRDefault="007C03D0" w:rsidP="009903C3">
      <w:pPr>
        <w:pStyle w:val="Testonotaapidipagina"/>
        <w:jc w:val="both"/>
        <w:rPr>
          <w:sz w:val="22"/>
          <w:szCs w:val="22"/>
        </w:rPr>
      </w:pPr>
      <w:r w:rsidRPr="00CB3CC5">
        <w:rPr>
          <w:rStyle w:val="Rimandonotaapidipagina"/>
          <w:sz w:val="22"/>
          <w:szCs w:val="22"/>
        </w:rPr>
        <w:footnoteRef/>
      </w:r>
      <w:r w:rsidRPr="00CB3CC5">
        <w:rPr>
          <w:sz w:val="22"/>
          <w:szCs w:val="22"/>
        </w:rPr>
        <w:t xml:space="preserve"> Rapporto dell’Osservatorio mafie nel Lazio 2016, </w:t>
      </w:r>
      <w:r>
        <w:rPr>
          <w:sz w:val="22"/>
          <w:szCs w:val="22"/>
        </w:rPr>
        <w:t>a</w:t>
      </w:r>
      <w:r w:rsidRPr="00CB3CC5">
        <w:rPr>
          <w:bCs/>
          <w:sz w:val="22"/>
          <w:szCs w:val="22"/>
        </w:rPr>
        <w:t xml:space="preserve"> cura dell’Osservatorio Tecnico-Scientifico per la Sicurezza e la Legalità</w:t>
      </w:r>
      <w:r>
        <w:rPr>
          <w:bCs/>
          <w:sz w:val="22"/>
          <w:szCs w:val="22"/>
        </w:rPr>
        <w:t xml:space="preserve">, </w:t>
      </w:r>
      <w:r w:rsidRPr="00CB3CC5">
        <w:rPr>
          <w:sz w:val="22"/>
          <w:szCs w:val="22"/>
        </w:rPr>
        <w:t>pag. 14.</w:t>
      </w:r>
    </w:p>
  </w:footnote>
  <w:footnote w:id="11">
    <w:p w:rsidR="007C03D0" w:rsidRPr="00106F4A" w:rsidRDefault="007C03D0" w:rsidP="009903C3">
      <w:pPr>
        <w:pStyle w:val="Testonotaapidipagina"/>
        <w:jc w:val="both"/>
        <w:rPr>
          <w:color w:val="FF0000"/>
          <w:sz w:val="22"/>
          <w:szCs w:val="22"/>
        </w:rPr>
      </w:pPr>
      <w:r w:rsidRPr="005D77F7">
        <w:rPr>
          <w:rStyle w:val="Rimandonotaapidipagina"/>
          <w:sz w:val="22"/>
          <w:szCs w:val="22"/>
        </w:rPr>
        <w:footnoteRef/>
      </w:r>
      <w:r w:rsidRPr="005D77F7">
        <w:rPr>
          <w:sz w:val="22"/>
          <w:szCs w:val="22"/>
        </w:rPr>
        <w:t xml:space="preserve"> Dalla relazione sull’attività delle forze di polizia, sullo stato dell’ordine e della sicurezza pubblica e sulla criminalità organizzata, presentata dal Ministro Alfano alla Camera dei Deputati il 25 febbraio 2015.</w:t>
      </w:r>
      <w:r w:rsidRPr="00106F4A">
        <w:rPr>
          <w:color w:val="FF0000"/>
          <w:sz w:val="22"/>
          <w:szCs w:val="22"/>
        </w:rPr>
        <w:t xml:space="preserve">     </w:t>
      </w:r>
      <w:hyperlink r:id="rId2" w:history="1">
        <w:r w:rsidRPr="00BA2C3E">
          <w:rPr>
            <w:rStyle w:val="Collegamentoipertestuale"/>
            <w:sz w:val="22"/>
            <w:szCs w:val="22"/>
          </w:rPr>
          <w:t>http://www.camera.it/leg17/494?idLegislatura=17@categoria=038&amp;tipologiaDoc=elenco_categoria</w:t>
        </w:r>
      </w:hyperlink>
      <w:r>
        <w:rPr>
          <w:color w:val="FF0000"/>
          <w:sz w:val="22"/>
          <w:szCs w:val="22"/>
        </w:rPr>
        <w:t xml:space="preserve"> </w:t>
      </w:r>
      <w:r w:rsidRPr="00106F4A">
        <w:rPr>
          <w:color w:val="FF0000"/>
          <w:sz w:val="22"/>
          <w:szCs w:val="22"/>
        </w:rPr>
        <w:t xml:space="preserve">  </w:t>
      </w:r>
    </w:p>
  </w:footnote>
  <w:footnote w:id="12">
    <w:p w:rsidR="007C03D0" w:rsidRPr="005D77F7" w:rsidRDefault="007C03D0" w:rsidP="009903C3">
      <w:pPr>
        <w:pStyle w:val="Testonotaapidipagina"/>
        <w:jc w:val="both"/>
        <w:rPr>
          <w:sz w:val="22"/>
          <w:szCs w:val="22"/>
        </w:rPr>
      </w:pPr>
      <w:r w:rsidRPr="005D77F7">
        <w:rPr>
          <w:rStyle w:val="Rimandonotaapidipagina"/>
          <w:sz w:val="22"/>
          <w:szCs w:val="22"/>
        </w:rPr>
        <w:footnoteRef/>
      </w:r>
      <w:r w:rsidRPr="005D77F7">
        <w:rPr>
          <w:sz w:val="22"/>
          <w:szCs w:val="22"/>
        </w:rPr>
        <w:t xml:space="preserve"> Idem nota 15.</w:t>
      </w:r>
    </w:p>
  </w:footnote>
  <w:footnote w:id="13">
    <w:p w:rsidR="007C03D0" w:rsidRPr="00A2700B" w:rsidRDefault="007C03D0" w:rsidP="009903C3">
      <w:pPr>
        <w:pStyle w:val="Testonotaapidipagina"/>
        <w:rPr>
          <w:color w:val="FF0000"/>
          <w:sz w:val="22"/>
          <w:szCs w:val="22"/>
        </w:rPr>
      </w:pPr>
      <w:r w:rsidRPr="005D77F7">
        <w:rPr>
          <w:rStyle w:val="Rimandonotaapidipagina"/>
          <w:sz w:val="22"/>
          <w:szCs w:val="22"/>
        </w:rPr>
        <w:footnoteRef/>
      </w:r>
      <w:r w:rsidRPr="005D77F7">
        <w:rPr>
          <w:sz w:val="22"/>
          <w:szCs w:val="22"/>
        </w:rPr>
        <w:t xml:space="preserve"> Relazione pubblicata in:</w:t>
      </w:r>
      <w:r w:rsidRPr="00A2700B">
        <w:rPr>
          <w:color w:val="FF0000"/>
          <w:sz w:val="22"/>
          <w:szCs w:val="22"/>
        </w:rPr>
        <w:t xml:space="preserve"> </w:t>
      </w:r>
      <w:hyperlink r:id="rId3" w:history="1">
        <w:r w:rsidRPr="00BA2C3E">
          <w:rPr>
            <w:rStyle w:val="Collegamentoipertestuale"/>
            <w:sz w:val="22"/>
            <w:szCs w:val="22"/>
          </w:rPr>
          <w:t>http://www.europarl.europa.eu/document/activities/cont/201306/20130627ATT68701/20130627ATT68701EN.pdf</w:t>
        </w:r>
      </w:hyperlink>
      <w:r>
        <w:rPr>
          <w:color w:val="FF0000"/>
          <w:sz w:val="22"/>
          <w:szCs w:val="22"/>
        </w:rPr>
        <w:t xml:space="preserve"> </w:t>
      </w:r>
    </w:p>
  </w:footnote>
  <w:footnote w:id="14">
    <w:p w:rsidR="007C03D0" w:rsidRDefault="007C03D0">
      <w:pPr>
        <w:pStyle w:val="Testonotaapidipagina"/>
      </w:pPr>
      <w:r>
        <w:rPr>
          <w:rStyle w:val="Rimandonotaapidipagina"/>
        </w:rPr>
        <w:footnoteRef/>
      </w:r>
      <w:r>
        <w:t xml:space="preserve"> Protocollo reperibile: </w:t>
      </w:r>
      <w:hyperlink r:id="rId4" w:history="1">
        <w:r w:rsidRPr="00681B8C">
          <w:rPr>
            <w:rStyle w:val="Collegamentoipertestuale"/>
          </w:rPr>
          <w:t>https://www.anticorruzione.it/portal/rest/jcr/repository/collaboration/Digital%20Assets/anacdocs/Attivita/ProtocolliIntesa/2017/Prot.DNA.ANAC.13.11.2017.pdf</w:t>
        </w:r>
      </w:hyperlink>
      <w:r>
        <w:t xml:space="preserve"> </w:t>
      </w:r>
    </w:p>
  </w:footnote>
  <w:footnote w:id="15">
    <w:p w:rsidR="007C03D0" w:rsidRPr="00E4181A" w:rsidRDefault="007C03D0" w:rsidP="009903C3">
      <w:pPr>
        <w:pStyle w:val="Testonotaapidipagina"/>
        <w:jc w:val="both"/>
        <w:rPr>
          <w:sz w:val="22"/>
          <w:szCs w:val="22"/>
        </w:rPr>
      </w:pPr>
      <w:r w:rsidRPr="00E4181A">
        <w:rPr>
          <w:rStyle w:val="Rimandonotaapidipagina"/>
          <w:sz w:val="22"/>
          <w:szCs w:val="22"/>
        </w:rPr>
        <w:footnoteRef/>
      </w:r>
      <w:r w:rsidRPr="00E4181A">
        <w:rPr>
          <w:sz w:val="22"/>
          <w:szCs w:val="22"/>
        </w:rPr>
        <w:t xml:space="preserve"> Ai sensi dell’art. 24 dello Statuto, infatti, “</w:t>
      </w:r>
      <w:r w:rsidRPr="00B16E97">
        <w:rPr>
          <w:i/>
          <w:sz w:val="22"/>
          <w:szCs w:val="22"/>
        </w:rPr>
        <w:t>il Consiglio regionale ha piena autonomia organizzativa, amministrativa, contabile e di gestione patrimoniale, che esercita con le modalità stabilite dai propri regolamenti interni</w:t>
      </w:r>
      <w:r w:rsidRPr="00E4181A">
        <w:rPr>
          <w:sz w:val="22"/>
          <w:szCs w:val="22"/>
        </w:rPr>
        <w:t>.”.</w:t>
      </w:r>
    </w:p>
  </w:footnote>
  <w:footnote w:id="16">
    <w:p w:rsidR="007C03D0" w:rsidRPr="009903C3" w:rsidRDefault="007C03D0" w:rsidP="009903C3">
      <w:pPr>
        <w:pStyle w:val="Testonotaapidipagina"/>
        <w:jc w:val="both"/>
        <w:rPr>
          <w:sz w:val="22"/>
          <w:szCs w:val="22"/>
        </w:rPr>
      </w:pPr>
      <w:r w:rsidRPr="009903C3">
        <w:rPr>
          <w:rStyle w:val="Rimandonotaapidipagina"/>
          <w:sz w:val="22"/>
          <w:szCs w:val="22"/>
        </w:rPr>
        <w:footnoteRef/>
      </w:r>
      <w:r w:rsidRPr="009903C3">
        <w:rPr>
          <w:sz w:val="22"/>
          <w:szCs w:val="22"/>
        </w:rPr>
        <w:t xml:space="preserve"> Mentre la vigilanza ed il controllo sull’attività e sugli organi dell’Istituto sono esercitati dalla Giunta regionale, ai sensi dell’art. 55, c. 7 dello Statuto regionale. In luogo degli ordinari organi dell’Istituto, attualmente è preposto al vertice dello stesso un commissario straordinario. </w:t>
      </w:r>
    </w:p>
  </w:footnote>
  <w:footnote w:id="17">
    <w:p w:rsidR="007C03D0" w:rsidRPr="009903C3" w:rsidRDefault="007C03D0" w:rsidP="009903C3">
      <w:pPr>
        <w:pStyle w:val="Testonotaapidipagina"/>
        <w:rPr>
          <w:sz w:val="22"/>
          <w:szCs w:val="22"/>
        </w:rPr>
      </w:pPr>
      <w:r w:rsidRPr="009903C3">
        <w:rPr>
          <w:rStyle w:val="Rimandonotaapidipagina"/>
          <w:sz w:val="22"/>
          <w:szCs w:val="22"/>
        </w:rPr>
        <w:footnoteRef/>
      </w:r>
      <w:r w:rsidRPr="009903C3">
        <w:rPr>
          <w:sz w:val="22"/>
          <w:szCs w:val="22"/>
        </w:rPr>
        <w:t xml:space="preserve"> Tali forme ulteriori di trasparenza sono individuate nella Sezione II, paragrafo 9.</w:t>
      </w:r>
    </w:p>
  </w:footnote>
  <w:footnote w:id="18">
    <w:p w:rsidR="007C03D0" w:rsidRPr="004720BB" w:rsidRDefault="007C03D0" w:rsidP="00BE4C08">
      <w:pPr>
        <w:pStyle w:val="Testonotaapidipagina"/>
        <w:spacing w:line="240" w:lineRule="atLeast"/>
        <w:jc w:val="both"/>
        <w:rPr>
          <w:sz w:val="22"/>
          <w:szCs w:val="22"/>
        </w:rPr>
      </w:pPr>
      <w:r w:rsidRPr="000B02F0">
        <w:rPr>
          <w:rStyle w:val="Rimandonotaapidipagina"/>
          <w:sz w:val="22"/>
          <w:szCs w:val="22"/>
        </w:rPr>
        <w:footnoteRef/>
      </w:r>
      <w:r w:rsidRPr="000B02F0">
        <w:rPr>
          <w:sz w:val="22"/>
          <w:szCs w:val="22"/>
        </w:rPr>
        <w:t xml:space="preserve"> Il Piano delle prestazioni e dei risultati ed il sistema della loro valutazione sono disciplinati</w:t>
      </w:r>
      <w:r>
        <w:rPr>
          <w:sz w:val="22"/>
          <w:szCs w:val="22"/>
        </w:rPr>
        <w:t xml:space="preserve"> </w:t>
      </w:r>
      <w:r w:rsidRPr="000B02F0">
        <w:rPr>
          <w:sz w:val="22"/>
          <w:szCs w:val="22"/>
        </w:rPr>
        <w:t>nella Regione</w:t>
      </w:r>
      <w:r>
        <w:rPr>
          <w:sz w:val="22"/>
          <w:szCs w:val="22"/>
        </w:rPr>
        <w:t xml:space="preserve"> Lazio</w:t>
      </w:r>
      <w:r w:rsidRPr="000B02F0">
        <w:rPr>
          <w:sz w:val="22"/>
          <w:szCs w:val="22"/>
        </w:rPr>
        <w:t xml:space="preserve"> dalla l</w:t>
      </w:r>
      <w:r>
        <w:rPr>
          <w:sz w:val="22"/>
          <w:szCs w:val="22"/>
        </w:rPr>
        <w:t>egge regionale 16 marzo 2011, n.1.</w:t>
      </w:r>
    </w:p>
  </w:footnote>
  <w:footnote w:id="19">
    <w:p w:rsidR="007C03D0" w:rsidRPr="009903C3" w:rsidRDefault="007C03D0" w:rsidP="009903C3">
      <w:pPr>
        <w:pStyle w:val="Testonotaapidipagina"/>
        <w:jc w:val="both"/>
        <w:rPr>
          <w:sz w:val="22"/>
          <w:szCs w:val="22"/>
        </w:rPr>
      </w:pPr>
      <w:r w:rsidRPr="009903C3">
        <w:rPr>
          <w:rStyle w:val="Rimandonotaapidipagina"/>
          <w:sz w:val="22"/>
          <w:szCs w:val="22"/>
        </w:rPr>
        <w:footnoteRef/>
      </w:r>
      <w:r w:rsidRPr="009903C3">
        <w:rPr>
          <w:sz w:val="22"/>
          <w:szCs w:val="22"/>
        </w:rPr>
        <w:t xml:space="preserve"> Così il novellato comma 8 della legge 190/2012, il quale poi aggiunge che detti obiettivi strategici “</w:t>
      </w:r>
      <w:r w:rsidRPr="009903C3">
        <w:rPr>
          <w:i/>
          <w:sz w:val="22"/>
          <w:szCs w:val="22"/>
        </w:rPr>
        <w:t>costituiscono contenuto necessario dei documenti di programmazione strategica e del Piano triennale per la prevenzione della corruzione.</w:t>
      </w:r>
      <w:r w:rsidRPr="009903C3">
        <w:rPr>
          <w:sz w:val="22"/>
          <w:szCs w:val="22"/>
        </w:rPr>
        <w:t>”</w:t>
      </w:r>
    </w:p>
  </w:footnote>
  <w:footnote w:id="20">
    <w:p w:rsidR="007C03D0" w:rsidRPr="00C032AE" w:rsidRDefault="007C03D0" w:rsidP="009903C3">
      <w:pPr>
        <w:pStyle w:val="Testonotaapidipagina"/>
        <w:rPr>
          <w:sz w:val="22"/>
          <w:szCs w:val="22"/>
        </w:rPr>
      </w:pPr>
      <w:r w:rsidRPr="00C032AE">
        <w:rPr>
          <w:rStyle w:val="Rimandonotaapidipagina"/>
          <w:sz w:val="22"/>
          <w:szCs w:val="22"/>
        </w:rPr>
        <w:footnoteRef/>
      </w:r>
      <w:r w:rsidRPr="00C032AE">
        <w:rPr>
          <w:sz w:val="22"/>
          <w:szCs w:val="22"/>
        </w:rPr>
        <w:t xml:space="preserve"> </w:t>
      </w:r>
      <w:r>
        <w:rPr>
          <w:sz w:val="22"/>
          <w:szCs w:val="22"/>
        </w:rPr>
        <w:t xml:space="preserve">Meglio definite nel successivo </w:t>
      </w:r>
      <w:r w:rsidRPr="00C032AE">
        <w:rPr>
          <w:sz w:val="22"/>
          <w:szCs w:val="22"/>
        </w:rPr>
        <w:t>paragrafo 2.5.7.</w:t>
      </w:r>
    </w:p>
  </w:footnote>
  <w:footnote w:id="21">
    <w:p w:rsidR="007C03D0" w:rsidRPr="00F6468D" w:rsidRDefault="007C03D0" w:rsidP="009903C3">
      <w:pPr>
        <w:pStyle w:val="Testonotaapidipagina"/>
        <w:rPr>
          <w:sz w:val="22"/>
          <w:szCs w:val="22"/>
        </w:rPr>
      </w:pPr>
      <w:r>
        <w:rPr>
          <w:rStyle w:val="Rimandonotaapidipagina"/>
        </w:rPr>
        <w:footnoteRef/>
      </w:r>
      <w:r>
        <w:t xml:space="preserve"> “</w:t>
      </w:r>
      <w:r w:rsidRPr="00F6468D">
        <w:rPr>
          <w:i/>
          <w:color w:val="000000"/>
          <w:sz w:val="22"/>
          <w:szCs w:val="22"/>
          <w:shd w:val="clear" w:color="auto" w:fill="F9F8F4"/>
        </w:rPr>
        <w:t>Norme in materia di risoluzione dei conflitti di interessi.</w:t>
      </w:r>
      <w:r>
        <w:rPr>
          <w:color w:val="000000"/>
          <w:sz w:val="22"/>
          <w:szCs w:val="22"/>
          <w:shd w:val="clear" w:color="auto" w:fill="F9F8F4"/>
        </w:rPr>
        <w:t>”.</w:t>
      </w:r>
    </w:p>
  </w:footnote>
  <w:footnote w:id="22">
    <w:p w:rsidR="007C03D0" w:rsidRDefault="007C03D0" w:rsidP="00EC4A93">
      <w:pPr>
        <w:pStyle w:val="Testonotaapidipagina"/>
        <w:jc w:val="both"/>
      </w:pPr>
      <w:r>
        <w:rPr>
          <w:rStyle w:val="Rimandonotaapidipagina"/>
        </w:rPr>
        <w:footnoteRef/>
      </w:r>
      <w:r>
        <w:t xml:space="preserve"> </w:t>
      </w:r>
      <w:r w:rsidRPr="003E1AC0">
        <w:rPr>
          <w:rFonts w:asciiTheme="majorHAnsi" w:hAnsiTheme="majorHAnsi" w:cstheme="majorHAnsi"/>
        </w:rPr>
        <w:t>Se ne riporta il contenuto:</w:t>
      </w:r>
      <w:r w:rsidRPr="002B1638">
        <w:t xml:space="preserve"> “</w:t>
      </w:r>
      <w:r w:rsidRPr="003E1AC0">
        <w:rPr>
          <w:rStyle w:val="Enfasigrassetto"/>
          <w:b w:val="0"/>
          <w:i/>
          <w:iCs/>
          <w:color w:val="000000"/>
        </w:rPr>
        <w:t>1. Il mancato raggiungimento degli ob</w:t>
      </w:r>
      <w:r>
        <w:rPr>
          <w:rStyle w:val="Enfasigrassetto"/>
          <w:b w:val="0"/>
          <w:i/>
          <w:iCs/>
          <w:color w:val="000000"/>
        </w:rPr>
        <w:t>iettivi accertato attraverso le</w:t>
      </w:r>
      <w:r w:rsidRPr="003E1AC0">
        <w:rPr>
          <w:rStyle w:val="Enfasigrassetto"/>
          <w:b w:val="0"/>
          <w:i/>
          <w:iCs/>
          <w:color w:val="000000"/>
        </w:rPr>
        <w:t xml:space="preserve"> risultanze  del  sistema  di  valutazione di cui al Titolo II del decreto legislativo di attuazione della legge 4 marzo 2009, n. </w:t>
      </w:r>
      <w:smartTag w:uri="urn:schemas-microsoft-com:office:smarttags" w:element="metricconverter">
        <w:smartTagPr>
          <w:attr w:name="ProductID" w:val="15, in"/>
        </w:smartTagPr>
        <w:r w:rsidRPr="003E1AC0">
          <w:rPr>
            <w:rStyle w:val="Enfasigrassetto"/>
            <w:b w:val="0"/>
            <w:i/>
            <w:iCs/>
            <w:color w:val="000000"/>
          </w:rPr>
          <w:t>15, in</w:t>
        </w:r>
      </w:smartTag>
      <w:r w:rsidRPr="003E1AC0">
        <w:rPr>
          <w:rStyle w:val="Enfasigrassetto"/>
          <w:b w:val="0"/>
          <w:i/>
          <w:iCs/>
          <w:color w:val="000000"/>
        </w:rPr>
        <w:t xml:space="preserve"> materia  di  ottimizzazione della produttività del lavoro pubblico e di  efficienza  e  trasparenza delle pubbliche amministrazioni ovvero l'inosservanza  delle  direttive  imputabili al dirigente comportano, previa </w:t>
      </w:r>
      <w:r>
        <w:rPr>
          <w:rStyle w:val="Enfasigrassetto"/>
          <w:b w:val="0"/>
          <w:i/>
          <w:iCs/>
          <w:color w:val="000000"/>
        </w:rPr>
        <w:t xml:space="preserve">contestazione </w:t>
      </w:r>
      <w:r w:rsidRPr="003E1AC0">
        <w:rPr>
          <w:rStyle w:val="Enfasigrassetto"/>
          <w:b w:val="0"/>
          <w:i/>
          <w:iCs/>
          <w:color w:val="000000"/>
        </w:rPr>
        <w:t>e  ferma  restando l'eventuale responsabilità disciplinare   secondo   la   disciplina   contenuta</w:t>
      </w:r>
      <w:r w:rsidRPr="003E1AC0">
        <w:rPr>
          <w:rStyle w:val="Enfasigrassetto"/>
          <w:i/>
          <w:iCs/>
          <w:color w:val="000000"/>
        </w:rPr>
        <w:t xml:space="preserve">   </w:t>
      </w:r>
      <w:r w:rsidRPr="003E1AC0">
        <w:rPr>
          <w:rStyle w:val="Enfasigrassetto"/>
          <w:b w:val="0"/>
          <w:i/>
          <w:iCs/>
          <w:color w:val="000000"/>
        </w:rPr>
        <w:t>nel  contratto collettivo, l'impossibilit</w:t>
      </w:r>
      <w:r>
        <w:rPr>
          <w:rStyle w:val="Enfasigrassetto"/>
          <w:b w:val="0"/>
          <w:i/>
          <w:iCs/>
          <w:color w:val="000000"/>
        </w:rPr>
        <w:t xml:space="preserve">à </w:t>
      </w:r>
      <w:r w:rsidRPr="003E1AC0">
        <w:rPr>
          <w:rStyle w:val="Enfasigrassetto"/>
          <w:b w:val="0"/>
          <w:i/>
          <w:iCs/>
          <w:color w:val="000000"/>
        </w:rPr>
        <w:t>di  rinnovo  dello  stesso  incarico dirigenziale. In</w:t>
      </w:r>
      <w:r w:rsidRPr="003E1AC0">
        <w:rPr>
          <w:rStyle w:val="Enfasigrassetto"/>
          <w:i/>
          <w:iCs/>
          <w:color w:val="000000"/>
        </w:rPr>
        <w:t xml:space="preserve"> </w:t>
      </w:r>
      <w:r w:rsidRPr="003E1AC0">
        <w:rPr>
          <w:rStyle w:val="Enfasigrassetto"/>
          <w:rFonts w:asciiTheme="majorHAnsi" w:hAnsiTheme="majorHAnsi" w:cstheme="majorHAnsi"/>
          <w:b w:val="0"/>
          <w:i/>
          <w:iCs/>
          <w:color w:val="000000"/>
        </w:rPr>
        <w:t>relazione alla</w:t>
      </w:r>
      <w:r w:rsidRPr="00EC4A93">
        <w:rPr>
          <w:rStyle w:val="Enfasigrassetto"/>
          <w:b w:val="0"/>
          <w:i/>
          <w:iCs/>
          <w:color w:val="000000"/>
        </w:rPr>
        <w:t xml:space="preserve"> </w:t>
      </w:r>
      <w:r w:rsidRPr="003E1AC0">
        <w:rPr>
          <w:rStyle w:val="Enfasigrassetto"/>
          <w:b w:val="0"/>
          <w:i/>
          <w:iCs/>
          <w:color w:val="000000"/>
        </w:rPr>
        <w:t>gravità' dei casi, l'amministrazione può inoltre, previa contestazione e nel rispetto del principio del contraddittorio, revocare l'incarico collocan</w:t>
      </w:r>
      <w:r>
        <w:rPr>
          <w:rStyle w:val="Enfasigrassetto"/>
          <w:b w:val="0"/>
          <w:i/>
          <w:iCs/>
          <w:color w:val="000000"/>
        </w:rPr>
        <w:t xml:space="preserve">do il dirigente a disposizione </w:t>
      </w:r>
      <w:r w:rsidRPr="003E1AC0">
        <w:rPr>
          <w:rStyle w:val="Enfasigrassetto"/>
          <w:b w:val="0"/>
          <w:i/>
          <w:iCs/>
          <w:color w:val="000000"/>
        </w:rPr>
        <w:t>dei ruoli</w:t>
      </w:r>
      <w:r>
        <w:rPr>
          <w:rStyle w:val="Enfasigrassetto"/>
          <w:b w:val="0"/>
          <w:i/>
          <w:iCs/>
          <w:color w:val="000000"/>
        </w:rPr>
        <w:t xml:space="preserve"> di</w:t>
      </w:r>
      <w:r w:rsidRPr="003E1AC0">
        <w:rPr>
          <w:rStyle w:val="Enfasigrassetto"/>
          <w:b w:val="0"/>
          <w:i/>
          <w:iCs/>
          <w:color w:val="000000"/>
        </w:rPr>
        <w:t xml:space="preserve"> cui all'articolo 23 ovvero recedere dal rapporto di lavoro secondo le disposizioni del contratto collettivo.   1-bis. Al  di  fuori  dei casi di cui al comma 1, al dirigente nei confronti  del  quale sia stata accertata, previa contestazione e nel rispetto  del  principio  del  contraddittorio  secondo  le procedure previste  dalla  legge  e  dai  contratti  collettivi  nazionali,  la colpevole  violazione  del dovere di vigilanza sul rispetto, da parte del personale assegnato ai propri uffici, degli standard quantitativi e qualitativi fissati</w:t>
      </w:r>
      <w:r>
        <w:rPr>
          <w:rStyle w:val="Enfasigrassetto"/>
          <w:b w:val="0"/>
          <w:i/>
          <w:iCs/>
          <w:color w:val="000000"/>
        </w:rPr>
        <w:t xml:space="preserve"> </w:t>
      </w:r>
      <w:r w:rsidRPr="003E1AC0">
        <w:rPr>
          <w:rStyle w:val="Enfasigrassetto"/>
          <w:b w:val="0"/>
          <w:i/>
          <w:iCs/>
          <w:color w:val="000000"/>
        </w:rPr>
        <w:t xml:space="preserve">dall'amministrazione,  conformemente  agli indirizzi  deliberati  dalla  Commissione  di cui all'articolo 13 del decreto legislativo di attuazione della legge 4 marzo 2009, n. </w:t>
      </w:r>
      <w:smartTag w:uri="urn:schemas-microsoft-com:office:smarttags" w:element="metricconverter">
        <w:smartTagPr>
          <w:attr w:name="ProductID" w:val="15, in"/>
        </w:smartTagPr>
        <w:r w:rsidRPr="003E1AC0">
          <w:rPr>
            <w:rStyle w:val="Enfasigrassetto"/>
            <w:b w:val="0"/>
            <w:i/>
            <w:iCs/>
            <w:color w:val="000000"/>
          </w:rPr>
          <w:t>15, in</w:t>
        </w:r>
      </w:smartTag>
      <w:r w:rsidRPr="003E1AC0">
        <w:rPr>
          <w:rStyle w:val="Enfasigrassetto"/>
          <w:b w:val="0"/>
          <w:i/>
          <w:iCs/>
          <w:color w:val="000000"/>
        </w:rPr>
        <w:t xml:space="preserve"> materia di ottimizzazione della produttività' del lavoro pubblico e di efficienza e trasparenza delle pubbliche amministrazioni, la retribuzione  di  risultato </w:t>
      </w:r>
      <w:r>
        <w:rPr>
          <w:rStyle w:val="Enfasigrassetto"/>
          <w:b w:val="0"/>
          <w:i/>
          <w:iCs/>
          <w:color w:val="000000"/>
        </w:rPr>
        <w:t>è</w:t>
      </w:r>
      <w:r w:rsidRPr="003E1AC0">
        <w:rPr>
          <w:rStyle w:val="Enfasigrassetto"/>
          <w:b w:val="0"/>
          <w:i/>
          <w:iCs/>
          <w:color w:val="000000"/>
        </w:rPr>
        <w:t xml:space="preserve"> decurtata, sentito il Comitato dei garanti, in relazione alla gravità della violazione di una quota fino all'ottanta per cento</w:t>
      </w:r>
      <w:r w:rsidRPr="003E1AC0">
        <w:rPr>
          <w:rStyle w:val="Enfasigrassetto"/>
          <w:b w:val="0"/>
          <w:iCs/>
          <w:color w:val="000000"/>
        </w:rPr>
        <w:t>.”.</w:t>
      </w:r>
    </w:p>
  </w:footnote>
  <w:footnote w:id="23">
    <w:p w:rsidR="007C03D0" w:rsidRDefault="007C03D0" w:rsidP="001D2695">
      <w:pPr>
        <w:pStyle w:val="PreformattatoHTML"/>
        <w:jc w:val="both"/>
        <w:textAlignment w:val="baseline"/>
      </w:pPr>
      <w:r>
        <w:rPr>
          <w:rStyle w:val="Rimandonotaapidipagina"/>
        </w:rPr>
        <w:footnoteRef/>
      </w:r>
      <w:r>
        <w:t xml:space="preserve"> </w:t>
      </w:r>
      <w:r w:rsidRPr="00DD7CAE">
        <w:rPr>
          <w:rFonts w:ascii="Times New Roman" w:hAnsi="Times New Roman" w:cs="Times New Roman"/>
          <w:i/>
          <w:sz w:val="22"/>
          <w:szCs w:val="22"/>
        </w:rPr>
        <w:t>“</w:t>
      </w:r>
      <w:r w:rsidRPr="00DD7CAE">
        <w:rPr>
          <w:rFonts w:ascii="Times New Roman" w:hAnsi="Times New Roman" w:cs="Times New Roman"/>
          <w:bCs/>
          <w:i/>
          <w:color w:val="000000"/>
          <w:sz w:val="22"/>
          <w:szCs w:val="22"/>
        </w:rPr>
        <w:t>Testo unico delle disposizioni concernenti lo statuto degli impiegati civili dello Stato.”.</w:t>
      </w:r>
      <w:r w:rsidRPr="00DD7CAE">
        <w:rPr>
          <w:rFonts w:ascii="Times New Roman" w:hAnsi="Times New Roman" w:cs="Times New Roman"/>
          <w:color w:val="000000"/>
          <w:sz w:val="22"/>
          <w:szCs w:val="22"/>
        </w:rPr>
        <w:t xml:space="preserve"> Si riporta l’art.20, rubricato</w:t>
      </w:r>
      <w:proofErr w:type="gramStart"/>
      <w:r w:rsidRPr="00DD7CAE">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DD7CAE">
        <w:rPr>
          <w:rFonts w:ascii="Times New Roman" w:hAnsi="Times New Roman" w:cs="Times New Roman"/>
          <w:color w:val="000000"/>
          <w:sz w:val="22"/>
          <w:szCs w:val="22"/>
        </w:rPr>
        <w:t>”</w:t>
      </w:r>
      <w:proofErr w:type="gramEnd"/>
      <w:r w:rsidRPr="00DD7CAE">
        <w:rPr>
          <w:rFonts w:ascii="Times New Roman" w:hAnsi="Times New Roman" w:cs="Times New Roman"/>
          <w:color w:val="000000"/>
          <w:sz w:val="22"/>
          <w:szCs w:val="22"/>
        </w:rPr>
        <w:t>(</w:t>
      </w:r>
      <w:r w:rsidRPr="00DD7CAE">
        <w:rPr>
          <w:rFonts w:ascii="Times New Roman" w:hAnsi="Times New Roman" w:cs="Times New Roman"/>
          <w:i/>
          <w:color w:val="000000"/>
          <w:sz w:val="22"/>
          <w:szCs w:val="22"/>
        </w:rPr>
        <w:t>Obbligo di denuncia)</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Il</w:t>
      </w:r>
      <w:r>
        <w:rPr>
          <w:rFonts w:ascii="Times New Roman" w:hAnsi="Times New Roman" w:cs="Times New Roman"/>
          <w:i/>
          <w:color w:val="000000"/>
          <w:sz w:val="22"/>
          <w:szCs w:val="22"/>
        </w:rPr>
        <w:t xml:space="preserve"> direttore</w:t>
      </w:r>
      <w:r w:rsidRPr="00DD7CAE">
        <w:rPr>
          <w:rFonts w:ascii="Times New Roman" w:hAnsi="Times New Roman" w:cs="Times New Roman"/>
          <w:i/>
          <w:color w:val="000000"/>
          <w:sz w:val="22"/>
          <w:szCs w:val="22"/>
        </w:rPr>
        <w:t xml:space="preserve"> generale e il capo</w:t>
      </w:r>
      <w:r>
        <w:rPr>
          <w:rFonts w:ascii="Times New Roman" w:hAnsi="Times New Roman" w:cs="Times New Roman"/>
          <w:i/>
          <w:color w:val="000000"/>
          <w:sz w:val="22"/>
          <w:szCs w:val="22"/>
        </w:rPr>
        <w:t xml:space="preserve"> del </w:t>
      </w:r>
      <w:r w:rsidRPr="00DD7CAE">
        <w:rPr>
          <w:rFonts w:ascii="Times New Roman" w:hAnsi="Times New Roman" w:cs="Times New Roman"/>
          <w:i/>
          <w:color w:val="000000"/>
          <w:sz w:val="22"/>
          <w:szCs w:val="22"/>
        </w:rPr>
        <w:t xml:space="preserve">servizio </w:t>
      </w:r>
      <w:r>
        <w:rPr>
          <w:rFonts w:ascii="Times New Roman" w:hAnsi="Times New Roman" w:cs="Times New Roman"/>
          <w:i/>
          <w:color w:val="000000"/>
          <w:sz w:val="22"/>
          <w:szCs w:val="22"/>
        </w:rPr>
        <w:t>che</w:t>
      </w:r>
      <w:r w:rsidRPr="00DD7CAE">
        <w:rPr>
          <w:rFonts w:ascii="Times New Roman" w:hAnsi="Times New Roman" w:cs="Times New Roman"/>
          <w:i/>
          <w:color w:val="000000"/>
          <w:sz w:val="22"/>
          <w:szCs w:val="22"/>
        </w:rPr>
        <w:t xml:space="preserve"> vengano a</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conoscenza, direttamente od a seguito di rapporto cui sono tenuti gli</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 xml:space="preserve">organi inferiori, di fatti che diano luogo a </w:t>
      </w:r>
      <w:proofErr w:type="spellStart"/>
      <w:r w:rsidRPr="00DD7CAE">
        <w:rPr>
          <w:rFonts w:ascii="Times New Roman" w:hAnsi="Times New Roman" w:cs="Times New Roman"/>
          <w:i/>
          <w:color w:val="000000"/>
          <w:sz w:val="22"/>
          <w:szCs w:val="22"/>
        </w:rPr>
        <w:t>responsabilita'</w:t>
      </w:r>
      <w:proofErr w:type="spellEnd"/>
      <w:r w:rsidRPr="00DD7CAE">
        <w:rPr>
          <w:rFonts w:ascii="Times New Roman" w:hAnsi="Times New Roman" w:cs="Times New Roman"/>
          <w:i/>
          <w:color w:val="000000"/>
          <w:sz w:val="22"/>
          <w:szCs w:val="22"/>
        </w:rPr>
        <w:t xml:space="preserve"> ai sensi</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 xml:space="preserve">dell'art. </w:t>
      </w:r>
      <w:proofErr w:type="gramStart"/>
      <w:r w:rsidRPr="00DD7CAE">
        <w:rPr>
          <w:rFonts w:ascii="Times New Roman" w:hAnsi="Times New Roman" w:cs="Times New Roman"/>
          <w:i/>
          <w:color w:val="000000"/>
          <w:sz w:val="22"/>
          <w:szCs w:val="22"/>
        </w:rPr>
        <w:t>18  devono</w:t>
      </w:r>
      <w:proofErr w:type="gramEnd"/>
      <w:r w:rsidRPr="00DD7CAE">
        <w:rPr>
          <w:rFonts w:ascii="Times New Roman" w:hAnsi="Times New Roman" w:cs="Times New Roman"/>
          <w:i/>
          <w:color w:val="000000"/>
          <w:sz w:val="22"/>
          <w:szCs w:val="22"/>
        </w:rPr>
        <w:t xml:space="preserve">  farne  denuncia  al procuratore generale della</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Corte   dei   conti,  indicando  tutti  gli  elementi  raccolti  per</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 xml:space="preserve">l'accertamento della </w:t>
      </w:r>
      <w:proofErr w:type="spellStart"/>
      <w:r w:rsidRPr="00DD7CAE">
        <w:rPr>
          <w:rFonts w:ascii="Times New Roman" w:hAnsi="Times New Roman" w:cs="Times New Roman"/>
          <w:i/>
          <w:color w:val="000000"/>
          <w:sz w:val="22"/>
          <w:szCs w:val="22"/>
        </w:rPr>
        <w:t>responsabilita'</w:t>
      </w:r>
      <w:proofErr w:type="spellEnd"/>
      <w:r w:rsidRPr="00DD7CAE">
        <w:rPr>
          <w:rFonts w:ascii="Times New Roman" w:hAnsi="Times New Roman" w:cs="Times New Roman"/>
          <w:i/>
          <w:color w:val="000000"/>
          <w:sz w:val="22"/>
          <w:szCs w:val="22"/>
        </w:rPr>
        <w:t xml:space="preserve"> e la determinazione dei danni.</w:t>
      </w:r>
      <w:r w:rsidRPr="00945E2B">
        <w:rPr>
          <w:rFonts w:ascii="Times New Roman" w:hAnsi="Times New Roman" w:cs="Times New Roman"/>
          <w:i/>
          <w:color w:val="000000"/>
          <w:sz w:val="22"/>
          <w:szCs w:val="22"/>
        </w:rPr>
        <w:t xml:space="preserve"> </w:t>
      </w:r>
      <w:r>
        <w:rPr>
          <w:rFonts w:ascii="Times New Roman" w:hAnsi="Times New Roman" w:cs="Times New Roman"/>
          <w:i/>
          <w:color w:val="000000"/>
          <w:sz w:val="22"/>
          <w:szCs w:val="22"/>
        </w:rPr>
        <w:t xml:space="preserve"> Qualora il</w:t>
      </w:r>
      <w:r w:rsidRPr="00DD7CAE">
        <w:rPr>
          <w:rFonts w:ascii="Times New Roman" w:hAnsi="Times New Roman" w:cs="Times New Roman"/>
          <w:i/>
          <w:color w:val="000000"/>
          <w:sz w:val="22"/>
          <w:szCs w:val="22"/>
        </w:rPr>
        <w:t xml:space="preserve"> </w:t>
      </w:r>
      <w:proofErr w:type="gramStart"/>
      <w:r w:rsidRPr="00DD7CAE">
        <w:rPr>
          <w:rFonts w:ascii="Times New Roman" w:hAnsi="Times New Roman" w:cs="Times New Roman"/>
          <w:i/>
          <w:color w:val="000000"/>
          <w:sz w:val="22"/>
          <w:szCs w:val="22"/>
        </w:rPr>
        <w:t>fatto  annoso</w:t>
      </w:r>
      <w:proofErr w:type="gramEnd"/>
      <w:r w:rsidRPr="00DD7CAE">
        <w:rPr>
          <w:rFonts w:ascii="Times New Roman" w:hAnsi="Times New Roman" w:cs="Times New Roman"/>
          <w:i/>
          <w:color w:val="000000"/>
          <w:sz w:val="22"/>
          <w:szCs w:val="22"/>
        </w:rPr>
        <w:t xml:space="preserve"> venga  accertato  da un impiegato con</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qualifica  di  ispettore generale, nel corso di una ispezione, questi</w:t>
      </w:r>
      <w:r w:rsidRPr="00945E2B">
        <w:rPr>
          <w:rFonts w:ascii="Times New Roman" w:hAnsi="Times New Roman" w:cs="Times New Roman"/>
          <w:i/>
          <w:color w:val="000000"/>
          <w:sz w:val="22"/>
          <w:szCs w:val="22"/>
        </w:rPr>
        <w:t xml:space="preserve"> </w:t>
      </w:r>
      <w:proofErr w:type="spellStart"/>
      <w:r w:rsidRPr="00DD7CAE">
        <w:rPr>
          <w:rFonts w:ascii="Times New Roman" w:hAnsi="Times New Roman" w:cs="Times New Roman"/>
          <w:i/>
          <w:color w:val="000000"/>
          <w:sz w:val="22"/>
          <w:szCs w:val="22"/>
        </w:rPr>
        <w:t>e'</w:t>
      </w:r>
      <w:proofErr w:type="spellEnd"/>
      <w:r w:rsidRPr="00DD7CAE">
        <w:rPr>
          <w:rFonts w:ascii="Times New Roman" w:hAnsi="Times New Roman" w:cs="Times New Roman"/>
          <w:i/>
          <w:color w:val="000000"/>
          <w:sz w:val="22"/>
          <w:szCs w:val="22"/>
        </w:rPr>
        <w:t xml:space="preserve">  tenuto  a  farne  immediatamente denuncia al procuratore generale</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della  Corte  dei  conti,  informandone  nel  contempo  il  direttore</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generale o il capo del servizio competente.</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Se il fatto dannoso sia imputabile al direttore generale o al capo</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 xml:space="preserve">di un servizio posto </w:t>
      </w:r>
      <w:proofErr w:type="gramStart"/>
      <w:r w:rsidRPr="00DD7CAE">
        <w:rPr>
          <w:rFonts w:ascii="Times New Roman" w:hAnsi="Times New Roman" w:cs="Times New Roman"/>
          <w:i/>
          <w:color w:val="000000"/>
          <w:sz w:val="22"/>
          <w:szCs w:val="22"/>
        </w:rPr>
        <w:t>alle  dirette</w:t>
      </w:r>
      <w:proofErr w:type="gramEnd"/>
      <w:r w:rsidRPr="00DD7CAE">
        <w:rPr>
          <w:rFonts w:ascii="Times New Roman" w:hAnsi="Times New Roman" w:cs="Times New Roman"/>
          <w:i/>
          <w:color w:val="000000"/>
          <w:sz w:val="22"/>
          <w:szCs w:val="22"/>
        </w:rPr>
        <w:t xml:space="preserve">  dipendenze  del  ministro, la</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 xml:space="preserve">denuncia </w:t>
      </w:r>
      <w:proofErr w:type="spellStart"/>
      <w:r w:rsidRPr="00DD7CAE">
        <w:rPr>
          <w:rFonts w:ascii="Times New Roman" w:hAnsi="Times New Roman" w:cs="Times New Roman"/>
          <w:i/>
          <w:color w:val="000000"/>
          <w:sz w:val="22"/>
          <w:szCs w:val="22"/>
        </w:rPr>
        <w:t>e'</w:t>
      </w:r>
      <w:proofErr w:type="spellEnd"/>
      <w:r w:rsidRPr="00DD7CAE">
        <w:rPr>
          <w:rFonts w:ascii="Times New Roman" w:hAnsi="Times New Roman" w:cs="Times New Roman"/>
          <w:i/>
          <w:color w:val="000000"/>
          <w:sz w:val="22"/>
          <w:szCs w:val="22"/>
        </w:rPr>
        <w:t xml:space="preserve"> fatta a cura del ministro stesso.</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Ove in sede di giudizio si accerti che la denuncia fu omessa per</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 xml:space="preserve">dolo o colpa grave, la Corte </w:t>
      </w:r>
      <w:proofErr w:type="spellStart"/>
      <w:r w:rsidRPr="00DD7CAE">
        <w:rPr>
          <w:rFonts w:ascii="Times New Roman" w:hAnsi="Times New Roman" w:cs="Times New Roman"/>
          <w:i/>
          <w:color w:val="000000"/>
          <w:sz w:val="22"/>
          <w:szCs w:val="22"/>
        </w:rPr>
        <w:t>puo'</w:t>
      </w:r>
      <w:proofErr w:type="spellEnd"/>
      <w:r w:rsidRPr="00DD7CAE">
        <w:rPr>
          <w:rFonts w:ascii="Times New Roman" w:hAnsi="Times New Roman" w:cs="Times New Roman"/>
          <w:i/>
          <w:color w:val="000000"/>
          <w:sz w:val="22"/>
          <w:szCs w:val="22"/>
        </w:rPr>
        <w:t xml:space="preserve"> condannare al risarcimento anche i</w:t>
      </w:r>
      <w:r w:rsidRPr="00945E2B">
        <w:rPr>
          <w:rFonts w:ascii="Times New Roman" w:hAnsi="Times New Roman" w:cs="Times New Roman"/>
          <w:i/>
          <w:color w:val="000000"/>
          <w:sz w:val="22"/>
          <w:szCs w:val="22"/>
        </w:rPr>
        <w:t xml:space="preserve"> </w:t>
      </w:r>
      <w:r w:rsidRPr="00DD7CAE">
        <w:rPr>
          <w:rFonts w:ascii="Times New Roman" w:hAnsi="Times New Roman" w:cs="Times New Roman"/>
          <w:i/>
          <w:color w:val="000000"/>
          <w:sz w:val="22"/>
          <w:szCs w:val="22"/>
        </w:rPr>
        <w:t>responsabili della omissione.</w:t>
      </w:r>
      <w:r>
        <w:rPr>
          <w:rFonts w:ascii="Times New Roman" w:hAnsi="Times New Roman" w:cs="Times New Roman"/>
          <w:i/>
          <w:color w:val="000000"/>
          <w:sz w:val="22"/>
          <w:szCs w:val="22"/>
        </w:rPr>
        <w:t>”.</w:t>
      </w:r>
    </w:p>
  </w:footnote>
  <w:footnote w:id="24">
    <w:p w:rsidR="007C03D0" w:rsidRDefault="007C03D0" w:rsidP="001D2695">
      <w:pPr>
        <w:pStyle w:val="PreformattatoHTML"/>
        <w:spacing w:line="0" w:lineRule="atLeast"/>
        <w:jc w:val="both"/>
        <w:textAlignment w:val="baseline"/>
        <w:rPr>
          <w:rFonts w:ascii="Times New Roman" w:hAnsi="Times New Roman" w:cs="Times New Roman"/>
          <w:bCs/>
          <w:color w:val="000000"/>
          <w:sz w:val="22"/>
          <w:szCs w:val="22"/>
        </w:rPr>
      </w:pPr>
      <w:r w:rsidRPr="003B4389">
        <w:rPr>
          <w:rStyle w:val="Rimandonotaapidipagina"/>
          <w:i/>
          <w:sz w:val="22"/>
          <w:szCs w:val="22"/>
        </w:rPr>
        <w:footnoteRef/>
      </w:r>
      <w:r w:rsidRPr="003B4389">
        <w:rPr>
          <w:rFonts w:ascii="Times New Roman" w:hAnsi="Times New Roman" w:cs="Times New Roman"/>
          <w:i/>
          <w:sz w:val="22"/>
          <w:szCs w:val="22"/>
        </w:rPr>
        <w:t xml:space="preserve"> “</w:t>
      </w:r>
      <w:r w:rsidRPr="003B4389">
        <w:rPr>
          <w:rFonts w:ascii="Times New Roman" w:hAnsi="Times New Roman" w:cs="Times New Roman"/>
          <w:bCs/>
          <w:i/>
          <w:color w:val="000000"/>
          <w:sz w:val="22"/>
          <w:szCs w:val="22"/>
        </w:rPr>
        <w:t>Disposizioni in materia di giurisdizione e controllo della Corte</w:t>
      </w:r>
      <w:r>
        <w:rPr>
          <w:rFonts w:ascii="Times New Roman" w:hAnsi="Times New Roman" w:cs="Times New Roman"/>
          <w:bCs/>
          <w:i/>
          <w:color w:val="000000"/>
          <w:sz w:val="22"/>
          <w:szCs w:val="22"/>
        </w:rPr>
        <w:t xml:space="preserve"> dei conti</w:t>
      </w:r>
      <w:r w:rsidRPr="003B4389">
        <w:rPr>
          <w:rFonts w:ascii="Times New Roman" w:hAnsi="Times New Roman" w:cs="Times New Roman"/>
          <w:b/>
          <w:bCs/>
          <w:i/>
          <w:color w:val="000000"/>
          <w:sz w:val="22"/>
          <w:szCs w:val="22"/>
        </w:rPr>
        <w:t xml:space="preserve">”, </w:t>
      </w:r>
      <w:r w:rsidRPr="003B4389">
        <w:rPr>
          <w:rFonts w:ascii="Times New Roman" w:hAnsi="Times New Roman" w:cs="Times New Roman"/>
          <w:bCs/>
          <w:color w:val="000000"/>
          <w:sz w:val="22"/>
          <w:szCs w:val="22"/>
        </w:rPr>
        <w:t>si riporta il comma 3 dell’art.1</w:t>
      </w:r>
      <w:r>
        <w:rPr>
          <w:rFonts w:ascii="Times New Roman" w:hAnsi="Times New Roman" w:cs="Times New Roman"/>
          <w:bCs/>
          <w:color w:val="000000"/>
          <w:sz w:val="22"/>
          <w:szCs w:val="22"/>
        </w:rPr>
        <w:t>:</w:t>
      </w:r>
    </w:p>
    <w:p w:rsidR="007C03D0" w:rsidRPr="008B2DD2" w:rsidRDefault="007C03D0" w:rsidP="001D2695">
      <w:pPr>
        <w:pStyle w:val="PreformattatoHTML"/>
        <w:spacing w:line="0" w:lineRule="atLeast"/>
        <w:jc w:val="both"/>
        <w:textAlignment w:val="baseline"/>
      </w:pPr>
      <w:r w:rsidRPr="004A2AD3">
        <w:rPr>
          <w:rFonts w:ascii="Times New Roman" w:hAnsi="Times New Roman" w:cs="Times New Roman"/>
          <w:i/>
          <w:sz w:val="22"/>
          <w:szCs w:val="22"/>
        </w:rPr>
        <w:t xml:space="preserve">“3. Qualora la prescrizione del diritto al risarcimento sia maturata a causa di omissione o ritardo della denuncia del fatto, rispondono del danno erariale i soggetti che hanno omesso o ritardato la denuncia. In tali casi, l'azione </w:t>
      </w:r>
      <w:r w:rsidRPr="004A2AD3">
        <w:rPr>
          <w:i/>
          <w:sz w:val="22"/>
          <w:szCs w:val="22"/>
        </w:rPr>
        <w:t>è</w:t>
      </w:r>
      <w:r w:rsidRPr="004A2AD3">
        <w:rPr>
          <w:rFonts w:ascii="Times New Roman" w:hAnsi="Times New Roman" w:cs="Times New Roman"/>
          <w:i/>
          <w:sz w:val="22"/>
          <w:szCs w:val="22"/>
        </w:rPr>
        <w:t xml:space="preserve"> proponibile entro cinque anni dalla data in cui la prescrizione </w:t>
      </w:r>
      <w:proofErr w:type="spellStart"/>
      <w:r w:rsidRPr="004A2AD3">
        <w:rPr>
          <w:rFonts w:ascii="Times New Roman" w:hAnsi="Times New Roman" w:cs="Times New Roman"/>
          <w:i/>
          <w:sz w:val="22"/>
          <w:szCs w:val="22"/>
        </w:rPr>
        <w:t>é</w:t>
      </w:r>
      <w:proofErr w:type="spellEnd"/>
      <w:r w:rsidRPr="004A2AD3">
        <w:rPr>
          <w:rFonts w:ascii="Times New Roman" w:hAnsi="Times New Roman" w:cs="Times New Roman"/>
          <w:i/>
          <w:sz w:val="22"/>
          <w:szCs w:val="22"/>
        </w:rPr>
        <w:t xml:space="preserve"> maturata.</w:t>
      </w:r>
      <w:r w:rsidRPr="004A2AD3">
        <w:rPr>
          <w:i/>
          <w:sz w:val="22"/>
          <w:szCs w:val="22"/>
        </w:rPr>
        <w:t>”.</w:t>
      </w:r>
      <w:r w:rsidRPr="004A2AD3">
        <w:rPr>
          <w:rFonts w:ascii="Times New Roman" w:hAnsi="Times New Roman" w:cs="Times New Roman"/>
          <w:i/>
          <w:sz w:val="22"/>
          <w:szCs w:val="22"/>
        </w:rPr>
        <w:t xml:space="preserve"> </w:t>
      </w:r>
    </w:p>
  </w:footnote>
  <w:footnote w:id="25">
    <w:p w:rsidR="007C03D0" w:rsidRPr="00A30CB9" w:rsidRDefault="007C03D0" w:rsidP="009903C3">
      <w:pPr>
        <w:pStyle w:val="Testonotaapidipagina"/>
        <w:rPr>
          <w:sz w:val="22"/>
          <w:szCs w:val="22"/>
        </w:rPr>
      </w:pPr>
      <w:r w:rsidRPr="00A30CB9">
        <w:rPr>
          <w:rStyle w:val="Rimandonotaapidipagina"/>
          <w:sz w:val="22"/>
          <w:szCs w:val="22"/>
        </w:rPr>
        <w:footnoteRef/>
      </w:r>
      <w:r w:rsidRPr="00A30CB9">
        <w:rPr>
          <w:sz w:val="22"/>
          <w:szCs w:val="22"/>
        </w:rPr>
        <w:t xml:space="preserve"> Art. 1, comma 8 bis, della legge 190/2012.</w:t>
      </w:r>
    </w:p>
  </w:footnote>
  <w:footnote w:id="26">
    <w:p w:rsidR="007C03D0" w:rsidRPr="00B95180" w:rsidRDefault="007C03D0" w:rsidP="009903C3">
      <w:pPr>
        <w:pStyle w:val="Testonotaapidipagina"/>
        <w:rPr>
          <w:sz w:val="22"/>
          <w:szCs w:val="22"/>
        </w:rPr>
      </w:pPr>
      <w:r w:rsidRPr="00B95180">
        <w:rPr>
          <w:rStyle w:val="Rimandonotaapidipagina"/>
          <w:sz w:val="22"/>
          <w:szCs w:val="22"/>
        </w:rPr>
        <w:footnoteRef/>
      </w:r>
      <w:r w:rsidRPr="00B95180">
        <w:rPr>
          <w:sz w:val="22"/>
          <w:szCs w:val="22"/>
        </w:rPr>
        <w:t xml:space="preserve"> Si veda la successiva nota 4</w:t>
      </w:r>
      <w:r>
        <w:rPr>
          <w:sz w:val="22"/>
          <w:szCs w:val="22"/>
        </w:rPr>
        <w:t>9</w:t>
      </w:r>
      <w:r w:rsidRPr="00B95180">
        <w:rPr>
          <w:sz w:val="22"/>
          <w:szCs w:val="22"/>
        </w:rPr>
        <w:t xml:space="preserve"> che riporta l’art. 7 del Codice di comportamento.</w:t>
      </w:r>
    </w:p>
  </w:footnote>
  <w:footnote w:id="27">
    <w:p w:rsidR="007C03D0" w:rsidRDefault="007C03D0" w:rsidP="009903C3">
      <w:pPr>
        <w:pStyle w:val="Default"/>
        <w:jc w:val="both"/>
      </w:pPr>
      <w:r w:rsidRPr="00425B4D">
        <w:rPr>
          <w:rStyle w:val="Rimandonotaapidipagina"/>
          <w:rFonts w:asciiTheme="majorHAnsi" w:hAnsiTheme="majorHAnsi" w:cstheme="majorHAnsi"/>
          <w:sz w:val="22"/>
          <w:szCs w:val="22"/>
        </w:rPr>
        <w:footnoteRef/>
      </w:r>
      <w:r w:rsidRPr="00425B4D">
        <w:rPr>
          <w:rFonts w:asciiTheme="majorHAnsi" w:hAnsiTheme="majorHAnsi" w:cstheme="majorHAnsi"/>
          <w:sz w:val="22"/>
          <w:szCs w:val="22"/>
        </w:rPr>
        <w:t xml:space="preserve"> Si riporta tale disposizione: </w:t>
      </w:r>
      <w:r>
        <w:rPr>
          <w:rFonts w:asciiTheme="majorHAnsi" w:hAnsiTheme="majorHAnsi" w:cstheme="majorHAnsi"/>
          <w:sz w:val="22"/>
          <w:szCs w:val="22"/>
        </w:rPr>
        <w:t>“</w:t>
      </w:r>
      <w:r w:rsidRPr="00425B4D">
        <w:rPr>
          <w:rFonts w:asciiTheme="majorHAnsi" w:hAnsiTheme="majorHAnsi" w:cstheme="majorHAnsi"/>
          <w:i/>
          <w:sz w:val="22"/>
          <w:szCs w:val="22"/>
        </w:rPr>
        <w:t>6</w:t>
      </w:r>
      <w:r w:rsidRPr="00425B4D">
        <w:rPr>
          <w:rFonts w:asciiTheme="majorHAnsi" w:hAnsiTheme="majorHAnsi" w:cstheme="majorHAnsi"/>
          <w:b/>
          <w:i/>
          <w:color w:val="auto"/>
          <w:sz w:val="22"/>
          <w:szCs w:val="22"/>
        </w:rPr>
        <w:t xml:space="preserve">. </w:t>
      </w:r>
      <w:r w:rsidRPr="00425B4D">
        <w:rPr>
          <w:rFonts w:asciiTheme="majorHAnsi" w:hAnsiTheme="majorHAnsi" w:cstheme="majorHAnsi"/>
          <w:i/>
          <w:color w:val="auto"/>
          <w:sz w:val="22"/>
          <w:szCs w:val="22"/>
        </w:rPr>
        <w:t>In relazione all’articolo 2, comma 3, secondo periodo, del Codice generale, fermo restando l’obbligo dell’osservanza da parte dei soggetti indicati all’articolo 2, comma 2 del presente Codice di tutte le disposizioni ivi contenute in quanto compatibili, la violazione da essi posta in essere della disposizione di cui al comma 2, lettera a), ovvero di cui al comma 2, lettera b) del presente articolo, da valutare per ogni singolo caso con riferimento alla gravità del comportamento e all’entità del pregiudizio derivatone al decoro ed al prestigio dell’Amministrazione, comporta la risoluzione o la decadenza del rapporto con essa. A tal fine trova applicazione quanto previsto all’articolo 2, comma 3, del presente Codice</w:t>
      </w:r>
      <w:r w:rsidRPr="00425B4D">
        <w:rPr>
          <w:rFonts w:asciiTheme="majorHAnsi" w:hAnsiTheme="majorHAnsi" w:cstheme="majorHAnsi"/>
          <w:color w:val="auto"/>
          <w:sz w:val="22"/>
          <w:szCs w:val="22"/>
        </w:rPr>
        <w:t>.</w:t>
      </w:r>
      <w:r>
        <w:rPr>
          <w:rFonts w:asciiTheme="majorHAnsi" w:hAnsiTheme="majorHAnsi" w:cstheme="majorHAnsi"/>
          <w:color w:val="auto"/>
          <w:sz w:val="22"/>
          <w:szCs w:val="22"/>
        </w:rPr>
        <w:t>”.</w:t>
      </w:r>
      <w:r w:rsidRPr="00425B4D">
        <w:rPr>
          <w:rFonts w:asciiTheme="majorHAnsi" w:hAnsiTheme="majorHAnsi" w:cstheme="majorHAnsi"/>
          <w:color w:val="auto"/>
          <w:sz w:val="22"/>
          <w:szCs w:val="22"/>
        </w:rPr>
        <w:t xml:space="preserve"> </w:t>
      </w:r>
    </w:p>
  </w:footnote>
  <w:footnote w:id="28">
    <w:p w:rsidR="007C03D0" w:rsidRPr="002C09E5" w:rsidRDefault="007C03D0" w:rsidP="009903C3">
      <w:pPr>
        <w:pStyle w:val="Testonotaapidipagina"/>
        <w:rPr>
          <w:sz w:val="22"/>
          <w:szCs w:val="22"/>
        </w:rPr>
      </w:pPr>
      <w:r w:rsidRPr="002C09E5">
        <w:rPr>
          <w:rStyle w:val="Rimandonotaapidipagina"/>
          <w:sz w:val="22"/>
          <w:szCs w:val="22"/>
        </w:rPr>
        <w:footnoteRef/>
      </w:r>
      <w:r w:rsidRPr="002C09E5">
        <w:rPr>
          <w:sz w:val="22"/>
          <w:szCs w:val="22"/>
        </w:rPr>
        <w:t xml:space="preserve"> Le suddette quattro aree di rischio comuni e obbligatorie sono:</w:t>
      </w:r>
    </w:p>
    <w:p w:rsidR="007C03D0" w:rsidRPr="002C09E5" w:rsidRDefault="007C03D0" w:rsidP="009903C3">
      <w:pPr>
        <w:pStyle w:val="Testonotaapidipagina"/>
        <w:numPr>
          <w:ilvl w:val="0"/>
          <w:numId w:val="6"/>
        </w:numPr>
        <w:jc w:val="both"/>
        <w:rPr>
          <w:sz w:val="22"/>
          <w:szCs w:val="22"/>
        </w:rPr>
      </w:pPr>
      <w:r>
        <w:rPr>
          <w:sz w:val="22"/>
          <w:szCs w:val="22"/>
        </w:rPr>
        <w:t xml:space="preserve">Area A: </w:t>
      </w:r>
      <w:r w:rsidRPr="002C09E5">
        <w:rPr>
          <w:sz w:val="22"/>
          <w:szCs w:val="22"/>
        </w:rPr>
        <w:t>acquisizione e progressione del personale;</w:t>
      </w:r>
    </w:p>
    <w:p w:rsidR="007C03D0" w:rsidRPr="002C09E5" w:rsidRDefault="007C03D0" w:rsidP="009903C3">
      <w:pPr>
        <w:pStyle w:val="Testonotaapidipagina"/>
        <w:numPr>
          <w:ilvl w:val="0"/>
          <w:numId w:val="6"/>
        </w:numPr>
        <w:jc w:val="both"/>
        <w:rPr>
          <w:sz w:val="22"/>
          <w:szCs w:val="22"/>
        </w:rPr>
      </w:pPr>
      <w:r>
        <w:rPr>
          <w:sz w:val="22"/>
          <w:szCs w:val="22"/>
        </w:rPr>
        <w:t xml:space="preserve">Area B: </w:t>
      </w:r>
      <w:r w:rsidRPr="002C09E5">
        <w:rPr>
          <w:sz w:val="22"/>
          <w:szCs w:val="22"/>
        </w:rPr>
        <w:t>affidamento di lavori, servizi e forniture;</w:t>
      </w:r>
    </w:p>
    <w:p w:rsidR="007C03D0" w:rsidRPr="002C09E5" w:rsidRDefault="007C03D0" w:rsidP="009903C3">
      <w:pPr>
        <w:pStyle w:val="Testonotaapidipagina"/>
        <w:numPr>
          <w:ilvl w:val="0"/>
          <w:numId w:val="6"/>
        </w:numPr>
        <w:jc w:val="both"/>
        <w:rPr>
          <w:sz w:val="22"/>
          <w:szCs w:val="22"/>
        </w:rPr>
      </w:pPr>
      <w:r>
        <w:rPr>
          <w:sz w:val="22"/>
          <w:szCs w:val="22"/>
        </w:rPr>
        <w:t xml:space="preserve">Area C: </w:t>
      </w:r>
      <w:r w:rsidRPr="002C09E5">
        <w:rPr>
          <w:sz w:val="22"/>
          <w:szCs w:val="22"/>
        </w:rPr>
        <w:t>provvedimenti ampliativi della sfera giuridica dei destinatari, privi di effetto economico diretto ed immediato per il destinatario;</w:t>
      </w:r>
    </w:p>
    <w:p w:rsidR="007C03D0" w:rsidRDefault="007C03D0" w:rsidP="009903C3">
      <w:pPr>
        <w:pStyle w:val="Testonotaapidipagina"/>
        <w:numPr>
          <w:ilvl w:val="0"/>
          <w:numId w:val="6"/>
        </w:numPr>
        <w:jc w:val="both"/>
        <w:rPr>
          <w:sz w:val="22"/>
          <w:szCs w:val="22"/>
        </w:rPr>
      </w:pPr>
      <w:r>
        <w:rPr>
          <w:sz w:val="22"/>
          <w:szCs w:val="22"/>
        </w:rPr>
        <w:t xml:space="preserve">Area D: </w:t>
      </w:r>
      <w:r w:rsidRPr="002C09E5">
        <w:rPr>
          <w:sz w:val="22"/>
          <w:szCs w:val="22"/>
        </w:rPr>
        <w:t>provvedimenti ampliativi della sfera giuridica dei destinatari, con effetto economico diretto ed immediato per il destinatario.</w:t>
      </w:r>
    </w:p>
    <w:p w:rsidR="007C03D0" w:rsidRDefault="007C03D0" w:rsidP="009903C3">
      <w:pPr>
        <w:pStyle w:val="Testonotaapidipagina"/>
        <w:ind w:firstLine="360"/>
        <w:jc w:val="both"/>
        <w:rPr>
          <w:sz w:val="22"/>
          <w:szCs w:val="22"/>
        </w:rPr>
      </w:pPr>
      <w:r>
        <w:rPr>
          <w:sz w:val="22"/>
          <w:szCs w:val="22"/>
        </w:rPr>
        <w:t>In particolare, e tra gli altri:</w:t>
      </w:r>
    </w:p>
    <w:p w:rsidR="007C03D0" w:rsidRDefault="007C03D0" w:rsidP="009903C3">
      <w:pPr>
        <w:pStyle w:val="Testonotaapidipagina"/>
        <w:numPr>
          <w:ilvl w:val="0"/>
          <w:numId w:val="6"/>
        </w:numPr>
        <w:jc w:val="both"/>
        <w:rPr>
          <w:sz w:val="22"/>
          <w:szCs w:val="22"/>
        </w:rPr>
      </w:pPr>
      <w:r>
        <w:rPr>
          <w:sz w:val="22"/>
          <w:szCs w:val="22"/>
        </w:rPr>
        <w:t xml:space="preserve">all’Area A sono inerenti i processi relativi a concorsi e prove selettive per l’assunzione del personale e per le progressioni di carriera; </w:t>
      </w:r>
    </w:p>
    <w:p w:rsidR="007C03D0" w:rsidRDefault="007C03D0" w:rsidP="009903C3">
      <w:pPr>
        <w:pStyle w:val="Testonotaapidipagina"/>
        <w:numPr>
          <w:ilvl w:val="0"/>
          <w:numId w:val="6"/>
        </w:numPr>
        <w:jc w:val="both"/>
        <w:rPr>
          <w:sz w:val="22"/>
          <w:szCs w:val="22"/>
        </w:rPr>
      </w:pPr>
      <w:r>
        <w:rPr>
          <w:sz w:val="22"/>
          <w:szCs w:val="22"/>
        </w:rPr>
        <w:t>all’Area B sono inerenti i processi relativi alla scelta del contraente, anche con riferimento alla modalità di selezione prescelta;</w:t>
      </w:r>
    </w:p>
    <w:p w:rsidR="007C03D0" w:rsidRDefault="007C03D0" w:rsidP="009903C3">
      <w:pPr>
        <w:pStyle w:val="Testonotaapidipagina"/>
        <w:numPr>
          <w:ilvl w:val="0"/>
          <w:numId w:val="6"/>
        </w:numPr>
        <w:jc w:val="both"/>
        <w:rPr>
          <w:sz w:val="22"/>
          <w:szCs w:val="22"/>
        </w:rPr>
      </w:pPr>
      <w:r>
        <w:rPr>
          <w:sz w:val="22"/>
          <w:szCs w:val="22"/>
        </w:rPr>
        <w:t>all’Area C sono inerenti i processi relativi ad autorizzazioni o concessioni;</w:t>
      </w:r>
    </w:p>
    <w:p w:rsidR="007C03D0" w:rsidRPr="002C09E5" w:rsidRDefault="007C03D0" w:rsidP="009903C3">
      <w:pPr>
        <w:pStyle w:val="Testonotaapidipagina"/>
        <w:numPr>
          <w:ilvl w:val="0"/>
          <w:numId w:val="6"/>
        </w:numPr>
        <w:jc w:val="both"/>
        <w:rPr>
          <w:sz w:val="22"/>
          <w:szCs w:val="22"/>
        </w:rPr>
      </w:pPr>
      <w:r>
        <w:rPr>
          <w:sz w:val="22"/>
          <w:szCs w:val="22"/>
        </w:rPr>
        <w:t xml:space="preserve">all’Area D, infine, sono inerenti i processi relativi alla concessione di sovvenzioni, contributi finanziari ed altri vantaggi economici, comunque denominati, a persone o ad enti pubblici e privati. </w:t>
      </w:r>
    </w:p>
  </w:footnote>
  <w:footnote w:id="29">
    <w:p w:rsidR="007C03D0" w:rsidRPr="00717691" w:rsidRDefault="007C03D0" w:rsidP="009903C3">
      <w:pPr>
        <w:pStyle w:val="Testonotaapidipagina"/>
        <w:jc w:val="both"/>
        <w:rPr>
          <w:sz w:val="22"/>
          <w:szCs w:val="22"/>
        </w:rPr>
      </w:pPr>
      <w:r w:rsidRPr="00717691">
        <w:rPr>
          <w:rStyle w:val="Rimandonotaapidipagina"/>
          <w:sz w:val="22"/>
          <w:szCs w:val="22"/>
        </w:rPr>
        <w:footnoteRef/>
      </w:r>
      <w:r w:rsidRPr="00717691">
        <w:rPr>
          <w:sz w:val="22"/>
          <w:szCs w:val="22"/>
        </w:rPr>
        <w:t xml:space="preserve"> A tal proposito, i sei parametri per la valutazione sono costituiti da:</w:t>
      </w:r>
    </w:p>
    <w:p w:rsidR="007C03D0" w:rsidRPr="00717691" w:rsidRDefault="007C03D0" w:rsidP="009903C3">
      <w:pPr>
        <w:pStyle w:val="Testonotaapidipagina"/>
        <w:ind w:firstLine="708"/>
        <w:jc w:val="both"/>
        <w:rPr>
          <w:sz w:val="22"/>
          <w:szCs w:val="22"/>
        </w:rPr>
      </w:pPr>
      <w:r w:rsidRPr="00717691">
        <w:rPr>
          <w:sz w:val="22"/>
          <w:szCs w:val="22"/>
        </w:rPr>
        <w:t>1) il livello di discrezionalità applicabile al processo o ad una sua specifica fase;</w:t>
      </w:r>
    </w:p>
    <w:p w:rsidR="007C03D0" w:rsidRPr="00717691" w:rsidRDefault="007C03D0" w:rsidP="009903C3">
      <w:pPr>
        <w:pStyle w:val="Testonotaapidipagina"/>
        <w:ind w:firstLine="708"/>
        <w:jc w:val="both"/>
        <w:rPr>
          <w:sz w:val="22"/>
          <w:szCs w:val="22"/>
        </w:rPr>
      </w:pPr>
      <w:r w:rsidRPr="00717691">
        <w:rPr>
          <w:sz w:val="22"/>
          <w:szCs w:val="22"/>
        </w:rPr>
        <w:t>2) la capacità o meno del processo di produrre effetti diretti all’esterno dell’Amministrazione;</w:t>
      </w:r>
    </w:p>
    <w:p w:rsidR="007C03D0" w:rsidRPr="00717691" w:rsidRDefault="007C03D0" w:rsidP="009903C3">
      <w:pPr>
        <w:pStyle w:val="Testonotaapidipagina"/>
        <w:ind w:left="708"/>
        <w:jc w:val="both"/>
        <w:rPr>
          <w:sz w:val="22"/>
          <w:szCs w:val="22"/>
        </w:rPr>
      </w:pPr>
      <w:r w:rsidRPr="00717691">
        <w:rPr>
          <w:sz w:val="22"/>
          <w:szCs w:val="22"/>
        </w:rPr>
        <w:t xml:space="preserve">3) la complessità del processo, intesa nel senso dell’eventuale partecipazione allo stesso da parte di più </w:t>
      </w:r>
      <w:r>
        <w:rPr>
          <w:sz w:val="22"/>
          <w:szCs w:val="22"/>
        </w:rPr>
        <w:t>PA;</w:t>
      </w:r>
    </w:p>
    <w:p w:rsidR="007C03D0" w:rsidRPr="00717691" w:rsidRDefault="007C03D0" w:rsidP="009903C3">
      <w:pPr>
        <w:pStyle w:val="Testonotaapidipagina"/>
        <w:ind w:firstLine="708"/>
        <w:jc w:val="both"/>
        <w:rPr>
          <w:sz w:val="22"/>
          <w:szCs w:val="22"/>
        </w:rPr>
      </w:pPr>
      <w:r w:rsidRPr="00717691">
        <w:rPr>
          <w:sz w:val="22"/>
          <w:szCs w:val="22"/>
        </w:rPr>
        <w:t>4) l’idoneità o meno del processo di attribuire vantaggi economici a soggetti esterni;</w:t>
      </w:r>
    </w:p>
    <w:p w:rsidR="007C03D0" w:rsidRPr="00717691" w:rsidRDefault="007C03D0" w:rsidP="009903C3">
      <w:pPr>
        <w:pStyle w:val="Testonotaapidipagina"/>
        <w:ind w:left="708"/>
        <w:jc w:val="both"/>
        <w:rPr>
          <w:sz w:val="22"/>
          <w:szCs w:val="22"/>
        </w:rPr>
      </w:pPr>
      <w:r w:rsidRPr="00717691">
        <w:rPr>
          <w:sz w:val="22"/>
          <w:szCs w:val="22"/>
        </w:rPr>
        <w:t>5) l’eventualità di frazionare il processo attraverso una pluralità di operazioni di entità economica ridotta;</w:t>
      </w:r>
    </w:p>
    <w:p w:rsidR="007C03D0" w:rsidRPr="00717691" w:rsidRDefault="007C03D0" w:rsidP="009903C3">
      <w:pPr>
        <w:pStyle w:val="Testonotaapidipagina"/>
        <w:ind w:firstLine="708"/>
        <w:jc w:val="both"/>
        <w:rPr>
          <w:sz w:val="22"/>
          <w:szCs w:val="22"/>
        </w:rPr>
      </w:pPr>
      <w:r w:rsidRPr="00717691">
        <w:rPr>
          <w:sz w:val="22"/>
          <w:szCs w:val="22"/>
        </w:rPr>
        <w:t xml:space="preserve">6) l’idoneità o meno di applicare modalità di controllo sul processo idonee a prevenire il rischio. </w:t>
      </w:r>
    </w:p>
  </w:footnote>
  <w:footnote w:id="30">
    <w:p w:rsidR="007C03D0" w:rsidRPr="00717691" w:rsidRDefault="007C03D0" w:rsidP="009903C3">
      <w:pPr>
        <w:pStyle w:val="Testonotaapidipagina"/>
        <w:jc w:val="both"/>
        <w:rPr>
          <w:sz w:val="22"/>
          <w:szCs w:val="22"/>
        </w:rPr>
      </w:pPr>
      <w:r w:rsidRPr="00717691">
        <w:rPr>
          <w:rStyle w:val="Rimandonotaapidipagina"/>
          <w:sz w:val="22"/>
          <w:szCs w:val="22"/>
        </w:rPr>
        <w:footnoteRef/>
      </w:r>
      <w:r w:rsidRPr="00717691">
        <w:rPr>
          <w:sz w:val="22"/>
          <w:szCs w:val="22"/>
        </w:rPr>
        <w:t xml:space="preserve"> Tale è l’indicazione contenuta nell’Allegato 1 al P.N.A. </w:t>
      </w:r>
    </w:p>
  </w:footnote>
  <w:footnote w:id="31">
    <w:p w:rsidR="007C03D0" w:rsidRPr="00717691" w:rsidRDefault="007C03D0" w:rsidP="009903C3">
      <w:pPr>
        <w:pStyle w:val="Testonotaapidipagina"/>
        <w:jc w:val="both"/>
        <w:rPr>
          <w:sz w:val="22"/>
          <w:szCs w:val="22"/>
        </w:rPr>
      </w:pPr>
      <w:r w:rsidRPr="00717691">
        <w:rPr>
          <w:rStyle w:val="Rimandonotaapidipagina"/>
          <w:sz w:val="22"/>
          <w:szCs w:val="22"/>
        </w:rPr>
        <w:footnoteRef/>
      </w:r>
      <w:r w:rsidRPr="00717691">
        <w:rPr>
          <w:sz w:val="22"/>
          <w:szCs w:val="22"/>
        </w:rPr>
        <w:t xml:space="preserve"> In base alla suddetta ponderazione, la fascia a rischio basso si colloca tra 0 e 2,59; la fascia a rischio medio tra 2,60 e 4,29; la fascia a rischio alto da </w:t>
      </w:r>
      <w:smartTag w:uri="urn:schemas-microsoft-com:office:smarttags" w:element="metricconverter">
        <w:smartTagPr>
          <w:attr w:name="ProductID" w:val="4,30 in"/>
        </w:smartTagPr>
        <w:r w:rsidRPr="00717691">
          <w:rPr>
            <w:sz w:val="22"/>
            <w:szCs w:val="22"/>
          </w:rPr>
          <w:t>4,30 in</w:t>
        </w:r>
      </w:smartTag>
      <w:r w:rsidRPr="00717691">
        <w:rPr>
          <w:sz w:val="22"/>
          <w:szCs w:val="22"/>
        </w:rPr>
        <w:t xml:space="preserve"> su. </w:t>
      </w:r>
    </w:p>
  </w:footnote>
  <w:footnote w:id="32">
    <w:p w:rsidR="007C03D0" w:rsidRDefault="007C03D0" w:rsidP="009903C3">
      <w:pPr>
        <w:pStyle w:val="Testonotaapidipagina"/>
      </w:pPr>
      <w:r>
        <w:rPr>
          <w:rStyle w:val="Rimandonotaapidipagina"/>
        </w:rPr>
        <w:footnoteRef/>
      </w:r>
      <w:r>
        <w:t xml:space="preserve"> Reperibile all’indirizzo: </w:t>
      </w:r>
      <w:hyperlink r:id="rId5" w:history="1">
        <w:r w:rsidRPr="00164FFF">
          <w:rPr>
            <w:rStyle w:val="Collegamentoipertestuale"/>
          </w:rPr>
          <w:t>http://www.consiglio.regione.lazio.it/binary/crl_amministrazione_trasparente/tbl_contenuti/BURL_N_23_SUPPL_1_DEL_19_3_2015.pdf</w:t>
        </w:r>
      </w:hyperlink>
      <w:r>
        <w:t xml:space="preserve">   </w:t>
      </w:r>
    </w:p>
  </w:footnote>
  <w:footnote w:id="33">
    <w:p w:rsidR="007C03D0" w:rsidRPr="00543A2D" w:rsidRDefault="007C03D0" w:rsidP="009903C3">
      <w:pPr>
        <w:pStyle w:val="Testonotaapidipagina"/>
        <w:jc w:val="both"/>
      </w:pPr>
      <w:r>
        <w:rPr>
          <w:rStyle w:val="Rimandonotaapidipagina"/>
        </w:rPr>
        <w:footnoteRef/>
      </w:r>
      <w:r>
        <w:t xml:space="preserve"> </w:t>
      </w:r>
      <w:r w:rsidRPr="002D4555">
        <w:rPr>
          <w:sz w:val="22"/>
          <w:szCs w:val="22"/>
        </w:rPr>
        <w:t>“</w:t>
      </w:r>
      <w:r w:rsidRPr="002D4555">
        <w:rPr>
          <w:i/>
          <w:sz w:val="22"/>
          <w:szCs w:val="22"/>
        </w:rPr>
        <w:t>Art. 7 (Obbligo di astensione per conflitto di interessi) 1. Il dipendente si astiene dall’assumere decisioni o svolgere attività inerenti alle proprie mansioni in situazioni di conflitto, anche potenziale, con interessi personali, del coniuge o di conviventi, di parenti o affini entro il secondo grado. Il conflitto può riguardare interessi di qualsiasi natura, anche non patrimoniali, come quelli derivanti dall’intento di voler assecondare pressioni politiche, sindacali o dei superiori gerarchici. 2. Il dipendente si astiene, inoltre, dal</w:t>
      </w:r>
      <w:r w:rsidRPr="002D4555">
        <w:rPr>
          <w:sz w:val="22"/>
          <w:szCs w:val="22"/>
        </w:rPr>
        <w:t xml:space="preserve"> </w:t>
      </w:r>
      <w:r w:rsidRPr="002D4555">
        <w:rPr>
          <w:i/>
          <w:sz w:val="22"/>
          <w:szCs w:val="22"/>
        </w:rPr>
        <w:t>partecipare all'adozione di decisioni o ad attivit</w:t>
      </w:r>
      <w:r>
        <w:rPr>
          <w:i/>
          <w:sz w:val="22"/>
          <w:szCs w:val="22"/>
        </w:rPr>
        <w:t>à</w:t>
      </w:r>
      <w:r w:rsidRPr="002D4555">
        <w:rPr>
          <w:i/>
          <w:sz w:val="22"/>
          <w:szCs w:val="22"/>
        </w:rPr>
        <w:t xml:space="preserve">' che possano coinvolgere interessi propri, ovvero di suoi parenti o affini entro il secondo grado, del coniuge o di conviventi, oppure di: a) persone con le quali abbia rapporti di frequentazione abituale; b) soggetti od organizzazioni con cui egli o il coniuge abbia causa pendente o inimicizia o rapporti di credito o debito significativi; c) soggetti od organizzazioni di cui sia tutore, curatore, procuratore o agente; d) enti, associazioni anche non riconosciute, comitati, </w:t>
      </w:r>
      <w:proofErr w:type="spellStart"/>
      <w:r w:rsidRPr="002D4555">
        <w:rPr>
          <w:i/>
          <w:sz w:val="22"/>
          <w:szCs w:val="22"/>
        </w:rPr>
        <w:t>societa'</w:t>
      </w:r>
      <w:proofErr w:type="spellEnd"/>
      <w:r w:rsidRPr="002D4555">
        <w:rPr>
          <w:i/>
          <w:sz w:val="22"/>
          <w:szCs w:val="22"/>
        </w:rPr>
        <w:t xml:space="preserve"> o stabilimenti di cui sia amministratore o gerente o dirigente, o nelle quali ricopra cariche sociali o di rappresentanza. 3. Ai fini del presente Codice, si considerano potenziali quei conflitti nei quali gli interessi finanziari o di altra natura di un dipendente potrebbero confliggere o interferire con l’interesse pubblico connesso alle attività e funzioni allo stesso assegnate. Il dipendente si astiene in ogni altro caso in cui esistano gravi ragioni di convenienza. Sull'astensione decide il dirigente della struttura di appartenenza. 4. In caso di conflitto di interesse, il dipendente deve preventivamente comunicare la propria situazione al dirigente della struttura di appartenenza, il quale, valutata la situazione, entro venti giorni risponde per iscritto al dipendente, sollevandolo dall’incarico e affidando il medesimo ad altri o, in assenza di idonee professionalità, avocandolo a sé. Ove il dirigente ritenga invece che non sussistano situazioni di conflitto di interesse che integrano il presupposto per l’applicazione</w:t>
      </w:r>
      <w:r w:rsidRPr="009162FA">
        <w:rPr>
          <w:i/>
          <w:color w:val="FF0000"/>
          <w:sz w:val="22"/>
          <w:szCs w:val="22"/>
        </w:rPr>
        <w:t xml:space="preserve"> </w:t>
      </w:r>
      <w:r w:rsidRPr="00543A2D">
        <w:rPr>
          <w:i/>
          <w:sz w:val="22"/>
          <w:szCs w:val="22"/>
        </w:rPr>
        <w:t>dell’obbligo di astensione, motiva le ragioni che consentono allo stesso dipendente di espletare comunque l’incarico e rende note le stesse al dipendente. In ambedue i casi, il dirigente comunica per iscritto al dirigente della struttura competente per i procedimenti disciplinari ed al Responsabile per la prevenzione della corruzione le decisioni assunte e provvede alla conservazione della relativa documentazione. 5. L’astensione del dipendente è obbligatoria fino ad eventuale diversa determinazione del dirigente della struttura di appartenenza. 6. Nel caso in cui il conflitto riguardi il dirigente, la comunicazione di cui al comma 4 è effettuata da parte di questi al Direttore sovraordinato, al Responsabile per la prevenzione della corruzione ed al Segretario generale.”.</w:t>
      </w:r>
    </w:p>
  </w:footnote>
  <w:footnote w:id="34">
    <w:p w:rsidR="007C03D0" w:rsidRPr="00A91EA4" w:rsidRDefault="007C03D0" w:rsidP="009903C3">
      <w:pPr>
        <w:pStyle w:val="Testonotaapidipagina"/>
        <w:rPr>
          <w:sz w:val="22"/>
          <w:szCs w:val="22"/>
        </w:rPr>
      </w:pPr>
      <w:r w:rsidRPr="00A91EA4">
        <w:rPr>
          <w:rStyle w:val="Rimandonotaapidipagina"/>
          <w:sz w:val="22"/>
          <w:szCs w:val="22"/>
        </w:rPr>
        <w:footnoteRef/>
      </w:r>
      <w:r w:rsidRPr="00A91EA4">
        <w:rPr>
          <w:sz w:val="22"/>
          <w:szCs w:val="22"/>
        </w:rPr>
        <w:t xml:space="preserve"> Così il PNA 2016, pag. 32.</w:t>
      </w:r>
    </w:p>
  </w:footnote>
  <w:footnote w:id="35">
    <w:p w:rsidR="007C03D0" w:rsidRPr="00D11336" w:rsidRDefault="007C03D0" w:rsidP="00075C4B">
      <w:pPr>
        <w:pStyle w:val="PreformattatoHTML"/>
        <w:jc w:val="both"/>
        <w:textAlignment w:val="baseline"/>
        <w:rPr>
          <w:rFonts w:ascii="Times New Roman" w:hAnsi="Times New Roman" w:cs="Times New Roman"/>
          <w:i/>
          <w:color w:val="000000"/>
          <w:sz w:val="22"/>
          <w:szCs w:val="22"/>
        </w:rPr>
      </w:pPr>
      <w:r>
        <w:rPr>
          <w:rStyle w:val="Rimandonotaapidipagina"/>
        </w:rPr>
        <w:footnoteRef/>
      </w:r>
      <w:r>
        <w:t xml:space="preserve"> </w:t>
      </w:r>
      <w:r w:rsidRPr="00D11336">
        <w:rPr>
          <w:rFonts w:ascii="Times New Roman" w:hAnsi="Times New Roman" w:cs="Times New Roman"/>
          <w:i/>
          <w:color w:val="000000"/>
          <w:sz w:val="22"/>
          <w:szCs w:val="22"/>
        </w:rPr>
        <w:t xml:space="preserve">a) coloro che hanno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w:t>
      </w:r>
      <w:proofErr w:type="spellStart"/>
      <w:r w:rsidRPr="00D11336">
        <w:rPr>
          <w:rFonts w:ascii="Times New Roman" w:hAnsi="Times New Roman" w:cs="Times New Roman"/>
          <w:i/>
          <w:color w:val="000000"/>
          <w:sz w:val="22"/>
          <w:szCs w:val="22"/>
        </w:rPr>
        <w:t>nonche</w:t>
      </w:r>
      <w:proofErr w:type="spellEnd"/>
      <w:r w:rsidRPr="00D11336">
        <w:rPr>
          <w:rFonts w:ascii="Times New Roman" w:hAnsi="Times New Roman" w:cs="Times New Roman"/>
          <w:i/>
          <w:color w:val="000000"/>
          <w:sz w:val="22"/>
          <w:szCs w:val="22"/>
        </w:rPr>
        <w:t xml:space="preserve">', nei casi in cui sia inflitta la pena della reclusione non inferiore ad un anno, il porto, il trasporto e la detenzione di armi, munizioni o materie esplodenti, o per il delitto di favoreggiamento personale o reale commesso in relazione a taluno dei predetti reati; </w:t>
      </w:r>
    </w:p>
    <w:p w:rsidR="007C03D0" w:rsidRPr="00D11336" w:rsidRDefault="007C03D0" w:rsidP="00075C4B">
      <w:pPr>
        <w:pStyle w:val="PreformattatoHTML"/>
        <w:jc w:val="both"/>
        <w:textAlignment w:val="baseline"/>
        <w:rPr>
          <w:rFonts w:ascii="Times New Roman" w:hAnsi="Times New Roman" w:cs="Times New Roman"/>
          <w:i/>
          <w:color w:val="000000"/>
          <w:sz w:val="22"/>
          <w:szCs w:val="22"/>
        </w:rPr>
      </w:pPr>
      <w:r>
        <w:rPr>
          <w:i/>
          <w:color w:val="000000"/>
          <w:sz w:val="24"/>
          <w:szCs w:val="24"/>
        </w:rPr>
        <w:t xml:space="preserve">  </w:t>
      </w:r>
      <w:r w:rsidRPr="00D11336">
        <w:rPr>
          <w:rFonts w:ascii="Times New Roman" w:hAnsi="Times New Roman" w:cs="Times New Roman"/>
          <w:i/>
          <w:color w:val="000000"/>
          <w:sz w:val="22"/>
          <w:szCs w:val="22"/>
        </w:rPr>
        <w:t>b) coloro che hanno riportato condanne definitive per i delitti, consumati o tentati,</w:t>
      </w:r>
      <w:r>
        <w:rPr>
          <w:rFonts w:ascii="Times New Roman" w:hAnsi="Times New Roman" w:cs="Times New Roman"/>
          <w:i/>
          <w:color w:val="000000"/>
          <w:sz w:val="22"/>
          <w:szCs w:val="22"/>
        </w:rPr>
        <w:t xml:space="preserve"> </w:t>
      </w:r>
      <w:r w:rsidRPr="00D11336">
        <w:rPr>
          <w:rFonts w:ascii="Times New Roman" w:hAnsi="Times New Roman" w:cs="Times New Roman"/>
          <w:i/>
          <w:color w:val="000000"/>
          <w:sz w:val="22"/>
          <w:szCs w:val="22"/>
        </w:rPr>
        <w:t xml:space="preserve">previsti dall'articolo 51, commi 3-bis e 3-quater, del codice di procedura penale, diversi da quelli indicati alla lettera a); </w:t>
      </w:r>
    </w:p>
    <w:p w:rsidR="007C03D0" w:rsidRPr="00D11336" w:rsidRDefault="007C03D0" w:rsidP="00075C4B">
      <w:pPr>
        <w:pStyle w:val="PreformattatoHTML"/>
        <w:jc w:val="both"/>
        <w:textAlignment w:val="baseline"/>
        <w:rPr>
          <w:rFonts w:ascii="Times New Roman" w:hAnsi="Times New Roman" w:cs="Times New Roman"/>
          <w:i/>
          <w:color w:val="000000"/>
          <w:sz w:val="22"/>
          <w:szCs w:val="22"/>
        </w:rPr>
      </w:pPr>
      <w:r w:rsidRPr="00D11336">
        <w:rPr>
          <w:rFonts w:ascii="Times New Roman" w:hAnsi="Times New Roman" w:cs="Times New Roman"/>
          <w:i/>
          <w:color w:val="000000"/>
          <w:sz w:val="22"/>
          <w:szCs w:val="22"/>
        </w:rPr>
        <w:t xml:space="preserve">    c) coloro che hanno riportato condanna definitiva per i delitti, consumati   o tentati, previsti dagli   articoli 314, 316, 316-bis,316-ter, 317, 318, 319, 319-ter, 319-quater, primo comma, 320, 321, 322, 322-bis, 323, 325, 326, 331, secondo comma, 334, 346-bis del codice penale; </w:t>
      </w:r>
    </w:p>
    <w:p w:rsidR="007C03D0" w:rsidRPr="00D11336" w:rsidRDefault="007C03D0" w:rsidP="00075C4B">
      <w:pPr>
        <w:pStyle w:val="PreformattatoHTML"/>
        <w:jc w:val="both"/>
        <w:textAlignment w:val="baseline"/>
        <w:rPr>
          <w:rFonts w:ascii="Times New Roman" w:hAnsi="Times New Roman" w:cs="Times New Roman"/>
          <w:i/>
          <w:color w:val="000000"/>
          <w:sz w:val="22"/>
          <w:szCs w:val="22"/>
        </w:rPr>
      </w:pPr>
      <w:r w:rsidRPr="00D11336">
        <w:rPr>
          <w:rFonts w:ascii="Times New Roman" w:hAnsi="Times New Roman" w:cs="Times New Roman"/>
          <w:i/>
          <w:color w:val="000000"/>
          <w:sz w:val="22"/>
          <w:szCs w:val="22"/>
        </w:rPr>
        <w:t xml:space="preserve">    d) coloro che sono stati condannati con sentenza definitiva alla pena della reclusione complessivamente superiore a sei mesi per uno o </w:t>
      </w:r>
      <w:proofErr w:type="spellStart"/>
      <w:r w:rsidRPr="00D11336">
        <w:rPr>
          <w:rFonts w:ascii="Times New Roman" w:hAnsi="Times New Roman" w:cs="Times New Roman"/>
          <w:i/>
          <w:color w:val="000000"/>
          <w:sz w:val="22"/>
          <w:szCs w:val="22"/>
        </w:rPr>
        <w:t>piu'</w:t>
      </w:r>
      <w:proofErr w:type="spellEnd"/>
      <w:r w:rsidRPr="00D11336">
        <w:rPr>
          <w:rFonts w:ascii="Times New Roman" w:hAnsi="Times New Roman" w:cs="Times New Roman"/>
          <w:i/>
          <w:color w:val="000000"/>
          <w:sz w:val="22"/>
          <w:szCs w:val="22"/>
        </w:rPr>
        <w:t xml:space="preserve"> delitti commessi con abuso dei poteri o con violazione dei doveri inerenti ad una pubblica funzione o a un pubblico servizio diversi da quelli indicati alla lettera c); </w:t>
      </w:r>
    </w:p>
    <w:p w:rsidR="007C03D0" w:rsidRPr="00D11336" w:rsidRDefault="007C03D0" w:rsidP="00075C4B">
      <w:pPr>
        <w:pStyle w:val="PreformattatoHTML"/>
        <w:jc w:val="both"/>
        <w:textAlignment w:val="baseline"/>
        <w:rPr>
          <w:rFonts w:ascii="Times New Roman" w:hAnsi="Times New Roman" w:cs="Times New Roman"/>
          <w:i/>
          <w:color w:val="000000"/>
          <w:sz w:val="22"/>
          <w:szCs w:val="22"/>
        </w:rPr>
      </w:pPr>
      <w:r w:rsidRPr="00D11336">
        <w:rPr>
          <w:rFonts w:ascii="Times New Roman" w:hAnsi="Times New Roman" w:cs="Times New Roman"/>
          <w:i/>
          <w:color w:val="000000"/>
          <w:sz w:val="22"/>
          <w:szCs w:val="22"/>
        </w:rPr>
        <w:t xml:space="preserve">    e) coloro che sono stati condannati con sentenza definitiva ad una pena non inferiore a due anni di reclusione per delitto non colposo;</w:t>
      </w:r>
    </w:p>
    <w:p w:rsidR="007C03D0" w:rsidRPr="00A818CA" w:rsidRDefault="007C03D0" w:rsidP="00075C4B">
      <w:pPr>
        <w:pStyle w:val="PreformattatoHTML"/>
        <w:jc w:val="both"/>
        <w:textAlignment w:val="baseline"/>
        <w:rPr>
          <w:sz w:val="22"/>
          <w:szCs w:val="22"/>
        </w:rPr>
      </w:pPr>
      <w:r w:rsidRPr="00D11336">
        <w:rPr>
          <w:rFonts w:ascii="Times New Roman" w:hAnsi="Times New Roman" w:cs="Times New Roman"/>
          <w:i/>
          <w:color w:val="000000"/>
          <w:sz w:val="22"/>
          <w:szCs w:val="22"/>
        </w:rPr>
        <w:t xml:space="preserve">    f) coloro nei cui confronti il tribunale ha applicato, con provvedimento definitivo, una misura di prevenzione, in quanto </w:t>
      </w:r>
      <w:proofErr w:type="gramStart"/>
      <w:r w:rsidRPr="00D11336">
        <w:rPr>
          <w:rFonts w:ascii="Times New Roman" w:hAnsi="Times New Roman" w:cs="Times New Roman"/>
          <w:i/>
          <w:color w:val="000000"/>
          <w:sz w:val="22"/>
          <w:szCs w:val="22"/>
        </w:rPr>
        <w:t>indiziati  di</w:t>
      </w:r>
      <w:proofErr w:type="gramEnd"/>
      <w:r w:rsidRPr="00D11336">
        <w:rPr>
          <w:rFonts w:ascii="Times New Roman" w:hAnsi="Times New Roman" w:cs="Times New Roman"/>
          <w:i/>
          <w:color w:val="000000"/>
          <w:sz w:val="22"/>
          <w:szCs w:val="22"/>
        </w:rPr>
        <w:t xml:space="preserve">  appartenere  ad  una  delle  associazioni di cui all'articolo 4, comma 1, lettera a) e b), del decreto legislativo 6 settembre 2011, n. 159. </w:t>
      </w:r>
    </w:p>
  </w:footnote>
  <w:footnote w:id="36">
    <w:p w:rsidR="007C03D0" w:rsidRPr="005B233F" w:rsidRDefault="007C03D0" w:rsidP="009903C3">
      <w:pPr>
        <w:autoSpaceDE w:val="0"/>
        <w:autoSpaceDN w:val="0"/>
        <w:adjustRightInd w:val="0"/>
        <w:jc w:val="both"/>
        <w:rPr>
          <w:rFonts w:asciiTheme="majorHAnsi" w:hAnsiTheme="majorHAnsi" w:cstheme="majorHAnsi"/>
        </w:rPr>
      </w:pPr>
      <w:r w:rsidRPr="005B233F">
        <w:rPr>
          <w:rStyle w:val="Rimandonotaapidipagina"/>
          <w:rFonts w:asciiTheme="majorHAnsi" w:hAnsiTheme="majorHAnsi" w:cstheme="majorHAnsi"/>
        </w:rPr>
        <w:footnoteRef/>
      </w:r>
      <w:r w:rsidRPr="005B233F">
        <w:rPr>
          <w:rFonts w:asciiTheme="majorHAnsi" w:hAnsiTheme="majorHAnsi" w:cstheme="majorHAnsi"/>
        </w:rPr>
        <w:t xml:space="preserve"> reperibile all’indirizzo:  </w:t>
      </w:r>
    </w:p>
    <w:p w:rsidR="007C03D0" w:rsidRDefault="007314DD" w:rsidP="009903C3">
      <w:pPr>
        <w:autoSpaceDE w:val="0"/>
        <w:autoSpaceDN w:val="0"/>
        <w:adjustRightInd w:val="0"/>
        <w:jc w:val="both"/>
      </w:pPr>
      <w:hyperlink r:id="rId6" w:history="1">
        <w:r w:rsidR="007C03D0" w:rsidRPr="005B233F">
          <w:rPr>
            <w:rStyle w:val="Collegamentoipertestuale"/>
            <w:rFonts w:asciiTheme="majorHAnsi" w:hAnsiTheme="majorHAnsi" w:cstheme="majorHAnsi"/>
          </w:rPr>
          <w:t>http://www.consiglio.regione.lazio.it/binary/consiglio/consiglio_atti_presidenza/Deliberazione_n_52_UdP_30_07_13_.pdf</w:t>
        </w:r>
      </w:hyperlink>
      <w:r w:rsidR="007C03D0" w:rsidRPr="00DD10C7">
        <w:t xml:space="preserve"> </w:t>
      </w:r>
      <w:r w:rsidR="007C03D0">
        <w:t xml:space="preserve"> </w:t>
      </w:r>
    </w:p>
  </w:footnote>
  <w:footnote w:id="37">
    <w:p w:rsidR="007C03D0" w:rsidRPr="00717691" w:rsidRDefault="007C03D0" w:rsidP="009903C3">
      <w:pPr>
        <w:pStyle w:val="Testonotaapidipagina"/>
        <w:jc w:val="both"/>
        <w:rPr>
          <w:sz w:val="22"/>
          <w:szCs w:val="22"/>
        </w:rPr>
      </w:pPr>
      <w:r w:rsidRPr="00DD60E9">
        <w:rPr>
          <w:rStyle w:val="Rimandonotaapidipagina"/>
          <w:sz w:val="22"/>
          <w:szCs w:val="22"/>
        </w:rPr>
        <w:footnoteRef/>
      </w:r>
      <w:r w:rsidRPr="00DD60E9">
        <w:rPr>
          <w:sz w:val="22"/>
          <w:szCs w:val="22"/>
        </w:rPr>
        <w:t xml:space="preserve"> Introdotto dalla legge 190/2012.</w:t>
      </w:r>
    </w:p>
  </w:footnote>
  <w:footnote w:id="38">
    <w:p w:rsidR="007C03D0" w:rsidRPr="002A04C5" w:rsidRDefault="007C03D0" w:rsidP="009903C3">
      <w:pPr>
        <w:pStyle w:val="Testonotaapidipagina"/>
        <w:rPr>
          <w:sz w:val="22"/>
          <w:szCs w:val="22"/>
        </w:rPr>
      </w:pPr>
      <w:r w:rsidRPr="002A04C5">
        <w:rPr>
          <w:rStyle w:val="Rimandonotaapidipagina"/>
          <w:sz w:val="22"/>
          <w:szCs w:val="22"/>
        </w:rPr>
        <w:footnoteRef/>
      </w:r>
      <w:r w:rsidRPr="002A04C5">
        <w:rPr>
          <w:sz w:val="22"/>
          <w:szCs w:val="22"/>
        </w:rPr>
        <w:t xml:space="preserve"> Sull’argomento, si veda anche l’apposito Manuale redatto da </w:t>
      </w:r>
      <w:proofErr w:type="spellStart"/>
      <w:r w:rsidRPr="002A04C5">
        <w:rPr>
          <w:sz w:val="22"/>
          <w:szCs w:val="22"/>
        </w:rPr>
        <w:t>Transparency</w:t>
      </w:r>
      <w:proofErr w:type="spellEnd"/>
      <w:r w:rsidRPr="002A04C5">
        <w:rPr>
          <w:sz w:val="22"/>
          <w:szCs w:val="22"/>
        </w:rPr>
        <w:t xml:space="preserve"> Italia, reperibile all’indirizzo:</w:t>
      </w:r>
    </w:p>
    <w:p w:rsidR="007C03D0" w:rsidRDefault="007314DD" w:rsidP="009903C3">
      <w:pPr>
        <w:pStyle w:val="Testonotaapidipagina"/>
      </w:pPr>
      <w:hyperlink r:id="rId7" w:history="1">
        <w:r w:rsidR="007C03D0" w:rsidRPr="002A04C5">
          <w:rPr>
            <w:rStyle w:val="Collegamentoipertestuale"/>
            <w:sz w:val="22"/>
            <w:szCs w:val="22"/>
          </w:rPr>
          <w:t>https://www.transparency.it/wp-content/uploads/2015/05/Patti_integrita_manualetto.pdf</w:t>
        </w:r>
      </w:hyperlink>
      <w:r w:rsidR="007C03D0">
        <w:t xml:space="preserve"> </w:t>
      </w:r>
    </w:p>
  </w:footnote>
  <w:footnote w:id="39">
    <w:p w:rsidR="007C03D0" w:rsidRPr="008C44C0" w:rsidRDefault="007C03D0" w:rsidP="00835673">
      <w:pPr>
        <w:pStyle w:val="Titolo3"/>
        <w:shd w:val="clear" w:color="auto" w:fill="FFFFFF" w:themeFill="background1"/>
        <w:spacing w:before="0" w:after="0"/>
        <w:jc w:val="both"/>
      </w:pPr>
      <w:r w:rsidRPr="008C44C0">
        <w:rPr>
          <w:rStyle w:val="Rimandonotaapidipagina"/>
          <w:b w:val="0"/>
        </w:rPr>
        <w:footnoteRef/>
      </w:r>
      <w:r w:rsidRPr="008C44C0">
        <w:rPr>
          <w:b w:val="0"/>
        </w:rPr>
        <w:t xml:space="preserve"> </w:t>
      </w:r>
      <w:r w:rsidRPr="008C44C0">
        <w:rPr>
          <w:rFonts w:ascii="Times New Roman" w:hAnsi="Times New Roman"/>
          <w:b w:val="0"/>
          <w:sz w:val="22"/>
          <w:szCs w:val="22"/>
        </w:rPr>
        <w:t>Determinazione n. 6 del 28 aprile 2015, “Linee guida in materia di tutela del dipendente pubblico che segnala illeciti (c.d. </w:t>
      </w:r>
      <w:proofErr w:type="spellStart"/>
      <w:r w:rsidRPr="008C44C0">
        <w:rPr>
          <w:rFonts w:ascii="Times New Roman" w:hAnsi="Times New Roman"/>
          <w:b w:val="0"/>
          <w:i/>
          <w:iCs/>
          <w:sz w:val="22"/>
          <w:szCs w:val="22"/>
        </w:rPr>
        <w:t>whistleblower</w:t>
      </w:r>
      <w:proofErr w:type="spellEnd"/>
      <w:r w:rsidRPr="008C44C0">
        <w:rPr>
          <w:rFonts w:ascii="Times New Roman" w:hAnsi="Times New Roman"/>
          <w:b w:val="0"/>
          <w:sz w:val="22"/>
          <w:szCs w:val="22"/>
        </w:rPr>
        <w:t xml:space="preserve">)”, pubblicata nella </w:t>
      </w:r>
      <w:proofErr w:type="gramStart"/>
      <w:r w:rsidRPr="008C44C0">
        <w:rPr>
          <w:rFonts w:ascii="Times New Roman" w:hAnsi="Times New Roman"/>
          <w:b w:val="0"/>
          <w:sz w:val="22"/>
          <w:szCs w:val="22"/>
        </w:rPr>
        <w:t>G.U. ,</w:t>
      </w:r>
      <w:proofErr w:type="gramEnd"/>
      <w:r w:rsidRPr="008C44C0">
        <w:rPr>
          <w:rFonts w:ascii="Times New Roman" w:hAnsi="Times New Roman"/>
          <w:b w:val="0"/>
          <w:sz w:val="22"/>
          <w:szCs w:val="22"/>
        </w:rPr>
        <w:t xml:space="preserve"> serie generale n. 110 del 14 maggio 2015).</w:t>
      </w:r>
    </w:p>
  </w:footnote>
  <w:footnote w:id="40">
    <w:p w:rsidR="007C03D0" w:rsidRPr="004139B3" w:rsidRDefault="007C03D0" w:rsidP="009903C3">
      <w:pPr>
        <w:pStyle w:val="Testonotaapidipagina"/>
        <w:jc w:val="both"/>
        <w:rPr>
          <w:sz w:val="22"/>
          <w:szCs w:val="22"/>
        </w:rPr>
      </w:pPr>
      <w:r w:rsidRPr="00FF3C10">
        <w:rPr>
          <w:rStyle w:val="Rimandonotaapidipagina"/>
          <w:sz w:val="22"/>
          <w:szCs w:val="22"/>
        </w:rPr>
        <w:footnoteRef/>
      </w:r>
      <w:r w:rsidRPr="00FF3C10">
        <w:rPr>
          <w:sz w:val="22"/>
          <w:szCs w:val="22"/>
        </w:rPr>
        <w:t xml:space="preserve"> Nella circolare in questione adottata dal Responsabile P.C. viene esplicitato che “</w:t>
      </w:r>
      <w:r w:rsidRPr="00FF3C10">
        <w:rPr>
          <w:i/>
          <w:sz w:val="22"/>
          <w:szCs w:val="22"/>
        </w:rPr>
        <w:t>Ai fini della gestione della segnalazione è necessario che essa sia il più possibile circostanziata, con l'indicazione di fatti riscontrabili di diretta conoscenza del demandante, di indicazioni che consentano di individuare l'autore o gli autori della condotta illecita e gli eventuali altri soggetti in grado di riferire in proposito. La segnalazione non dovrà riguardare mere rimostranze di carattere personale del segnalante o richieste che</w:t>
      </w:r>
      <w:r w:rsidRPr="004139B3">
        <w:rPr>
          <w:i/>
          <w:sz w:val="22"/>
          <w:szCs w:val="22"/>
        </w:rPr>
        <w:t xml:space="preserve"> attengono alla disciplina del rapporto di lavoro o ai rapporti col superiore gerarchico o colleghi. Per garantire l'anonimato di colui che effettui la segnalazione, è stato istituito il seguente apposito indirizzo di posta elettronica </w:t>
      </w:r>
      <w:hyperlink r:id="rId8" w:history="1">
        <w:r w:rsidRPr="004139B3">
          <w:rPr>
            <w:rStyle w:val="Collegamentoipertestuale"/>
            <w:sz w:val="22"/>
            <w:szCs w:val="22"/>
          </w:rPr>
          <w:t>segnalazioneilleciticrl@regione.lazio.it</w:t>
        </w:r>
      </w:hyperlink>
      <w:r w:rsidRPr="004139B3">
        <w:rPr>
          <w:i/>
          <w:sz w:val="22"/>
          <w:szCs w:val="22"/>
        </w:rPr>
        <w:t xml:space="preserve">. , che costituisce un canale differenziato e riservato cui potrà accedere esclusivamente il Responsabile della </w:t>
      </w:r>
      <w:r>
        <w:rPr>
          <w:i/>
          <w:sz w:val="22"/>
          <w:szCs w:val="22"/>
        </w:rPr>
        <w:t>p</w:t>
      </w:r>
      <w:r w:rsidRPr="004139B3">
        <w:rPr>
          <w:i/>
          <w:sz w:val="22"/>
          <w:szCs w:val="22"/>
        </w:rPr>
        <w:t>revenzione della corruzione del Consiglio regionale. Le segnalazioni così pervenute saranno oggetto di verifica da parte del Responsabile della Prevenzione della corruzione, anche attraverso l'audizione del segnalante e di altri soggetti in grado di riferire nel merito.  Le segnalazioni anonime non saranno prese in alcuna considerazione, a meno che riguardino fatti di particolare gravità e siano corredate da elementi circostanziati. Resta ferma la personale responsabilità penale e/o disciplinare del segnalante nei casi di utilizzazione impropria o strumentale dell'istituto oggetto della presente comunicazione.</w:t>
      </w:r>
      <w:r w:rsidRPr="004139B3">
        <w:rPr>
          <w:sz w:val="22"/>
          <w:szCs w:val="22"/>
        </w:rPr>
        <w:t>”.</w:t>
      </w:r>
    </w:p>
  </w:footnote>
  <w:footnote w:id="41">
    <w:p w:rsidR="007C03D0" w:rsidRPr="009F3DF1" w:rsidRDefault="007C03D0" w:rsidP="009903C3">
      <w:pPr>
        <w:pStyle w:val="Testonotaapidipagina"/>
        <w:jc w:val="both"/>
        <w:rPr>
          <w:sz w:val="22"/>
          <w:szCs w:val="22"/>
        </w:rPr>
      </w:pPr>
      <w:r w:rsidRPr="009F3DF1">
        <w:rPr>
          <w:rStyle w:val="Rimandonotaapidipagina"/>
          <w:sz w:val="22"/>
          <w:szCs w:val="22"/>
        </w:rPr>
        <w:footnoteRef/>
      </w:r>
      <w:r w:rsidRPr="009F3DF1">
        <w:rPr>
          <w:sz w:val="22"/>
          <w:szCs w:val="22"/>
        </w:rPr>
        <w:t xml:space="preserve"> “</w:t>
      </w:r>
      <w:r w:rsidRPr="00065853">
        <w:rPr>
          <w:i/>
          <w:color w:val="000000"/>
          <w:sz w:val="22"/>
          <w:szCs w:val="22"/>
          <w:shd w:val="clear" w:color="auto" w:fill="F9F9F9"/>
        </w:rPr>
        <w:t>Misure urgenti per la semplificazione e la trasparenza amministrativa e per l’efficienza degli uffici giudiziari</w:t>
      </w:r>
      <w:r w:rsidRPr="009F3DF1">
        <w:rPr>
          <w:color w:val="000000"/>
          <w:sz w:val="22"/>
          <w:szCs w:val="22"/>
          <w:shd w:val="clear" w:color="auto" w:fill="F9F9F9"/>
        </w:rPr>
        <w:t>”, convertito nella legge 11 agosto 2014, n. 114.</w:t>
      </w:r>
    </w:p>
  </w:footnote>
  <w:footnote w:id="42">
    <w:p w:rsidR="007C03D0" w:rsidRPr="009903C3" w:rsidRDefault="007C03D0" w:rsidP="009903C3">
      <w:pPr>
        <w:pStyle w:val="Titolo3"/>
        <w:shd w:val="clear" w:color="auto" w:fill="FFFFFF"/>
        <w:spacing w:before="0" w:after="0" w:line="240" w:lineRule="atLeast"/>
        <w:jc w:val="both"/>
        <w:rPr>
          <w:rFonts w:ascii="Times New Roman" w:hAnsi="Times New Roman"/>
          <w:b w:val="0"/>
          <w:sz w:val="22"/>
          <w:szCs w:val="22"/>
        </w:rPr>
      </w:pPr>
      <w:r w:rsidRPr="009903C3">
        <w:rPr>
          <w:rStyle w:val="Rimandonotaapidipagina"/>
          <w:rFonts w:ascii="Times New Roman" w:hAnsi="Times New Roman"/>
          <w:b w:val="0"/>
          <w:sz w:val="22"/>
          <w:szCs w:val="22"/>
        </w:rPr>
        <w:footnoteRef/>
      </w:r>
      <w:r w:rsidRPr="009903C3">
        <w:rPr>
          <w:rFonts w:ascii="Times New Roman" w:hAnsi="Times New Roman"/>
          <w:b w:val="0"/>
          <w:sz w:val="22"/>
          <w:szCs w:val="22"/>
        </w:rPr>
        <w:t xml:space="preserve"> Pubblicato sulla</w:t>
      </w:r>
      <w:r w:rsidRPr="009903C3">
        <w:rPr>
          <w:rFonts w:ascii="Times New Roman" w:hAnsi="Times New Roman"/>
          <w:b w:val="0"/>
          <w:bCs w:val="0"/>
          <w:sz w:val="22"/>
          <w:szCs w:val="22"/>
          <w:bdr w:val="none" w:sz="0" w:space="0" w:color="auto" w:frame="1"/>
        </w:rPr>
        <w:t xml:space="preserve"> GU, Serie Generale, n.233 del 7 ottobre 2015.</w:t>
      </w:r>
      <w:r w:rsidRPr="009903C3">
        <w:rPr>
          <w:rFonts w:ascii="Times New Roman" w:hAnsi="Times New Roman"/>
          <w:b w:val="0"/>
          <w:sz w:val="22"/>
          <w:szCs w:val="22"/>
        </w:rPr>
        <w:t xml:space="preserve"> </w:t>
      </w:r>
    </w:p>
  </w:footnote>
  <w:footnote w:id="43">
    <w:p w:rsidR="007C03D0" w:rsidRPr="00FF3C10" w:rsidRDefault="007C03D0" w:rsidP="009903C3">
      <w:pPr>
        <w:pStyle w:val="Testonotaapidipagina"/>
        <w:jc w:val="both"/>
        <w:rPr>
          <w:sz w:val="22"/>
          <w:szCs w:val="22"/>
        </w:rPr>
      </w:pPr>
      <w:r w:rsidRPr="00FF3C10">
        <w:rPr>
          <w:rStyle w:val="Rimandonotaapidipagina"/>
          <w:sz w:val="22"/>
          <w:szCs w:val="22"/>
        </w:rPr>
        <w:footnoteRef/>
      </w:r>
      <w:r w:rsidRPr="00FF3C10">
        <w:rPr>
          <w:sz w:val="22"/>
          <w:szCs w:val="22"/>
        </w:rPr>
        <w:t xml:space="preserve"> Si veda l’Aggiornamento del P.N.A., </w:t>
      </w:r>
      <w:r>
        <w:rPr>
          <w:sz w:val="22"/>
          <w:szCs w:val="22"/>
        </w:rPr>
        <w:t xml:space="preserve">adottato con </w:t>
      </w:r>
      <w:r w:rsidRPr="00FF3C10">
        <w:rPr>
          <w:sz w:val="22"/>
          <w:szCs w:val="22"/>
        </w:rPr>
        <w:t>determinazione A</w:t>
      </w:r>
      <w:r>
        <w:rPr>
          <w:sz w:val="22"/>
          <w:szCs w:val="22"/>
        </w:rPr>
        <w:t>.N.A.C. n.</w:t>
      </w:r>
      <w:r w:rsidRPr="00FF3C10">
        <w:rPr>
          <w:sz w:val="22"/>
          <w:szCs w:val="22"/>
        </w:rPr>
        <w:t xml:space="preserve"> 12/2015, che dedica particolare spazio ai processi di affidamento.</w:t>
      </w:r>
    </w:p>
  </w:footnote>
  <w:footnote w:id="44">
    <w:p w:rsidR="007C03D0" w:rsidRPr="00FF3C10" w:rsidRDefault="007C03D0" w:rsidP="009903C3">
      <w:pPr>
        <w:pStyle w:val="Testonotaapidipagina"/>
        <w:jc w:val="both"/>
        <w:rPr>
          <w:sz w:val="22"/>
          <w:szCs w:val="22"/>
        </w:rPr>
      </w:pPr>
      <w:r w:rsidRPr="00FF3C10">
        <w:rPr>
          <w:rStyle w:val="Rimandonotaapidipagina"/>
          <w:sz w:val="22"/>
          <w:szCs w:val="22"/>
        </w:rPr>
        <w:footnoteRef/>
      </w:r>
      <w:r w:rsidRPr="00FF3C10">
        <w:rPr>
          <w:sz w:val="22"/>
          <w:szCs w:val="22"/>
        </w:rPr>
        <w:t xml:space="preserve"> Le specifiche misure per la gestione del rischio di ciascun </w:t>
      </w:r>
      <w:proofErr w:type="spellStart"/>
      <w:r w:rsidRPr="00FF3C10">
        <w:rPr>
          <w:sz w:val="22"/>
          <w:szCs w:val="22"/>
        </w:rPr>
        <w:t>sottoprocesso</w:t>
      </w:r>
      <w:proofErr w:type="spellEnd"/>
      <w:r w:rsidRPr="00FF3C10">
        <w:rPr>
          <w:sz w:val="22"/>
          <w:szCs w:val="22"/>
        </w:rPr>
        <w:t xml:space="preserve"> e loro fasi sono descritte nell’allegata Tabella a ciò dedicata.</w:t>
      </w:r>
    </w:p>
  </w:footnote>
  <w:footnote w:id="45">
    <w:p w:rsidR="007C03D0" w:rsidRPr="00FF3C10" w:rsidRDefault="007C03D0" w:rsidP="009903C3">
      <w:pPr>
        <w:pStyle w:val="Testonotaapidipagina"/>
        <w:rPr>
          <w:sz w:val="22"/>
          <w:szCs w:val="22"/>
        </w:rPr>
      </w:pPr>
      <w:r w:rsidRPr="00FF3C10">
        <w:rPr>
          <w:rStyle w:val="Rimandonotaapidipagina"/>
          <w:sz w:val="22"/>
          <w:szCs w:val="22"/>
        </w:rPr>
        <w:footnoteRef/>
      </w:r>
      <w:r w:rsidRPr="00FF3C10">
        <w:rPr>
          <w:sz w:val="22"/>
          <w:szCs w:val="22"/>
        </w:rPr>
        <w:t xml:space="preserve"> Idem nota precedente.</w:t>
      </w:r>
    </w:p>
  </w:footnote>
  <w:footnote w:id="46">
    <w:p w:rsidR="007C03D0" w:rsidRPr="00FF3C10" w:rsidRDefault="007C03D0" w:rsidP="009903C3">
      <w:pPr>
        <w:pStyle w:val="Testonotaapidipagina"/>
        <w:rPr>
          <w:sz w:val="22"/>
          <w:szCs w:val="22"/>
        </w:rPr>
      </w:pPr>
      <w:r w:rsidRPr="00FF3C10">
        <w:rPr>
          <w:rStyle w:val="Rimandonotaapidipagina"/>
          <w:sz w:val="22"/>
          <w:szCs w:val="22"/>
        </w:rPr>
        <w:footnoteRef/>
      </w:r>
      <w:r w:rsidRPr="00FF3C10">
        <w:rPr>
          <w:sz w:val="22"/>
          <w:szCs w:val="22"/>
        </w:rPr>
        <w:t xml:space="preserve"> Idem nota precedente.</w:t>
      </w:r>
    </w:p>
  </w:footnote>
  <w:footnote w:id="47">
    <w:p w:rsidR="007C03D0" w:rsidRPr="00FF3C10" w:rsidRDefault="007C03D0" w:rsidP="009903C3">
      <w:pPr>
        <w:pStyle w:val="Testonotaapidipagina"/>
      </w:pPr>
      <w:r w:rsidRPr="00FF3C10">
        <w:rPr>
          <w:rStyle w:val="Rimandonotaapidipagina"/>
        </w:rPr>
        <w:footnoteRef/>
      </w:r>
      <w:r w:rsidRPr="00FF3C10">
        <w:t xml:space="preserve"> </w:t>
      </w:r>
      <w:r w:rsidRPr="00FF3C10">
        <w:rPr>
          <w:sz w:val="22"/>
          <w:szCs w:val="22"/>
        </w:rPr>
        <w:t>Idem nota precedente.</w:t>
      </w:r>
    </w:p>
  </w:footnote>
  <w:footnote w:id="48">
    <w:p w:rsidR="007C03D0" w:rsidRPr="00FF3C10" w:rsidRDefault="007C03D0" w:rsidP="009903C3">
      <w:pPr>
        <w:pStyle w:val="Testonotaapidipagina"/>
      </w:pPr>
      <w:r w:rsidRPr="00FF3C10">
        <w:rPr>
          <w:rStyle w:val="Rimandonotaapidipagina"/>
        </w:rPr>
        <w:footnoteRef/>
      </w:r>
      <w:r w:rsidRPr="00FF3C10">
        <w:t xml:space="preserve"> </w:t>
      </w:r>
      <w:r w:rsidRPr="00FF3C10">
        <w:rPr>
          <w:sz w:val="22"/>
          <w:szCs w:val="22"/>
        </w:rPr>
        <w:t>Idem nota precedente.</w:t>
      </w:r>
    </w:p>
  </w:footnote>
  <w:footnote w:id="49">
    <w:p w:rsidR="007C03D0" w:rsidRPr="00911A96" w:rsidRDefault="007C03D0">
      <w:pPr>
        <w:pStyle w:val="Testonotaapidipagina"/>
        <w:rPr>
          <w:sz w:val="22"/>
          <w:szCs w:val="22"/>
        </w:rPr>
      </w:pPr>
      <w:r w:rsidRPr="00911A96">
        <w:rPr>
          <w:rStyle w:val="Rimandonotaapidipagina"/>
          <w:sz w:val="22"/>
          <w:szCs w:val="22"/>
        </w:rPr>
        <w:footnoteRef/>
      </w:r>
      <w:r w:rsidRPr="00911A96">
        <w:rPr>
          <w:sz w:val="22"/>
          <w:szCs w:val="22"/>
        </w:rPr>
        <w:t xml:space="preserve"> </w:t>
      </w:r>
      <w:r>
        <w:rPr>
          <w:sz w:val="22"/>
          <w:szCs w:val="22"/>
        </w:rPr>
        <w:t>Consultazioni v</w:t>
      </w:r>
      <w:r w:rsidRPr="00911A96">
        <w:rPr>
          <w:sz w:val="22"/>
          <w:szCs w:val="22"/>
        </w:rPr>
        <w:t>isualizzabili alla pagina</w:t>
      </w:r>
      <w:r>
        <w:rPr>
          <w:sz w:val="22"/>
          <w:szCs w:val="22"/>
        </w:rPr>
        <w:t>:</w:t>
      </w:r>
      <w:r w:rsidRPr="00911A96">
        <w:rPr>
          <w:sz w:val="22"/>
          <w:szCs w:val="22"/>
        </w:rPr>
        <w:t xml:space="preserve"> </w:t>
      </w:r>
      <w:hyperlink r:id="rId9" w:history="1">
        <w:r w:rsidRPr="00911A96">
          <w:rPr>
            <w:rStyle w:val="Collegamentoipertestuale"/>
            <w:sz w:val="22"/>
            <w:szCs w:val="22"/>
          </w:rPr>
          <w:t>http://www.anticorruzione.it/portal/public/classic/AttivitaAutorita/ConsultazioniOnLine</w:t>
        </w:r>
      </w:hyperlink>
      <w:r w:rsidRPr="00911A96">
        <w:rPr>
          <w:sz w:val="22"/>
          <w:szCs w:val="22"/>
        </w:rPr>
        <w:t xml:space="preserve"> </w:t>
      </w:r>
    </w:p>
  </w:footnote>
  <w:footnote w:id="50">
    <w:p w:rsidR="007C03D0" w:rsidRPr="00BE505D" w:rsidRDefault="007C03D0" w:rsidP="009903C3">
      <w:pPr>
        <w:jc w:val="both"/>
        <w:rPr>
          <w:rFonts w:asciiTheme="majorHAnsi" w:hAnsiTheme="majorHAnsi" w:cstheme="majorHAnsi"/>
        </w:rPr>
      </w:pPr>
      <w:r w:rsidRPr="00BE505D">
        <w:rPr>
          <w:rStyle w:val="Rimandonotaapidipagina"/>
          <w:rFonts w:asciiTheme="majorHAnsi" w:hAnsiTheme="majorHAnsi" w:cstheme="majorHAnsi"/>
        </w:rPr>
        <w:footnoteRef/>
      </w:r>
      <w:r w:rsidRPr="00BE505D">
        <w:rPr>
          <w:rFonts w:asciiTheme="majorHAnsi" w:hAnsiTheme="majorHAnsi" w:cstheme="majorHAnsi"/>
        </w:rPr>
        <w:t xml:space="preserve"> La determinazione </w:t>
      </w:r>
      <w:proofErr w:type="spellStart"/>
      <w:r w:rsidRPr="00BE505D">
        <w:rPr>
          <w:rFonts w:asciiTheme="majorHAnsi" w:hAnsiTheme="majorHAnsi" w:cstheme="majorHAnsi"/>
        </w:rPr>
        <w:t>dell’Anac</w:t>
      </w:r>
      <w:proofErr w:type="spellEnd"/>
      <w:r w:rsidRPr="00BE505D">
        <w:rPr>
          <w:rFonts w:asciiTheme="majorHAnsi" w:hAnsiTheme="majorHAnsi" w:cstheme="majorHAnsi"/>
        </w:rPr>
        <w:t xml:space="preserve"> n. 12/2015, avente per oggetto l’aggiornamento del P.N.A., qualifica la trasparenza come uno degli assi portanti della politica anticorruzione impostata dalla legge 190/2012.</w:t>
      </w:r>
    </w:p>
  </w:footnote>
  <w:footnote w:id="51">
    <w:p w:rsidR="007C03D0" w:rsidRPr="00717691" w:rsidRDefault="007C03D0" w:rsidP="009903C3">
      <w:pPr>
        <w:pStyle w:val="Testonotaapidipagina"/>
        <w:rPr>
          <w:sz w:val="22"/>
          <w:szCs w:val="22"/>
        </w:rPr>
      </w:pPr>
      <w:r w:rsidRPr="00717691">
        <w:rPr>
          <w:rStyle w:val="Rimandonotaapidipagina"/>
          <w:sz w:val="22"/>
          <w:szCs w:val="22"/>
        </w:rPr>
        <w:footnoteRef/>
      </w:r>
      <w:r w:rsidRPr="00717691">
        <w:rPr>
          <w:sz w:val="22"/>
          <w:szCs w:val="22"/>
        </w:rPr>
        <w:t xml:space="preserve"> Legge 190/2012, comma 15.</w:t>
      </w:r>
    </w:p>
  </w:footnote>
  <w:footnote w:id="52">
    <w:p w:rsidR="007C03D0" w:rsidRPr="00717691" w:rsidRDefault="007C03D0" w:rsidP="009903C3">
      <w:pPr>
        <w:pStyle w:val="Testonotaapidipagina"/>
        <w:jc w:val="both"/>
        <w:rPr>
          <w:sz w:val="22"/>
          <w:szCs w:val="22"/>
        </w:rPr>
      </w:pPr>
      <w:r w:rsidRPr="00717691">
        <w:rPr>
          <w:rStyle w:val="Rimandonotaapidipagina"/>
          <w:sz w:val="22"/>
          <w:szCs w:val="22"/>
        </w:rPr>
        <w:footnoteRef/>
      </w:r>
      <w:r w:rsidRPr="00717691">
        <w:rPr>
          <w:sz w:val="22"/>
          <w:szCs w:val="22"/>
        </w:rPr>
        <w:t xml:space="preserve"> In realtà, come ha riconosciuto </w:t>
      </w:r>
      <w:smartTag w:uri="urn:schemas-microsoft-com:office:smarttags" w:element="PersonName">
        <w:smartTagPr>
          <w:attr w:name="ProductID" w:val="la Corte"/>
        </w:smartTagPr>
        <w:r w:rsidRPr="00717691">
          <w:rPr>
            <w:sz w:val="22"/>
            <w:szCs w:val="22"/>
          </w:rPr>
          <w:t>la Corte</w:t>
        </w:r>
      </w:smartTag>
      <w:r w:rsidRPr="00717691">
        <w:rPr>
          <w:sz w:val="22"/>
          <w:szCs w:val="22"/>
        </w:rPr>
        <w:t xml:space="preserve"> costituzionale con diverse sentenze, la legge regionale può intervenire in tali ambiti di spettanza dello Stato mediante norme più rigorose rispetto alle finalità perseguite da quelle statali  </w:t>
      </w:r>
    </w:p>
  </w:footnote>
  <w:footnote w:id="53">
    <w:p w:rsidR="007C03D0" w:rsidRPr="004B4834" w:rsidRDefault="007C03D0" w:rsidP="009903C3">
      <w:pPr>
        <w:pStyle w:val="Testonotaapidipagina"/>
        <w:contextualSpacing/>
        <w:rPr>
          <w:rFonts w:asciiTheme="majorHAnsi" w:hAnsiTheme="majorHAnsi" w:cstheme="majorHAnsi"/>
          <w:i/>
          <w:sz w:val="22"/>
          <w:szCs w:val="22"/>
        </w:rPr>
      </w:pPr>
      <w:r w:rsidRPr="004B4834">
        <w:rPr>
          <w:rStyle w:val="Rimandonotaapidipagina"/>
          <w:rFonts w:asciiTheme="majorHAnsi" w:hAnsiTheme="majorHAnsi" w:cstheme="majorHAnsi"/>
          <w:i/>
          <w:sz w:val="22"/>
          <w:szCs w:val="22"/>
        </w:rPr>
        <w:footnoteRef/>
      </w:r>
      <w:r w:rsidRPr="004B4834">
        <w:rPr>
          <w:rFonts w:asciiTheme="majorHAnsi" w:hAnsiTheme="majorHAnsi" w:cstheme="majorHAnsi"/>
          <w:i/>
          <w:sz w:val="22"/>
          <w:szCs w:val="22"/>
        </w:rPr>
        <w:t xml:space="preserve"> </w:t>
      </w:r>
      <w:r w:rsidRPr="004B4834">
        <w:rPr>
          <w:rFonts w:asciiTheme="majorHAnsi" w:hAnsiTheme="majorHAnsi" w:cstheme="majorHAnsi"/>
          <w:sz w:val="22"/>
          <w:szCs w:val="22"/>
        </w:rPr>
        <w:t>Recante</w:t>
      </w:r>
      <w:r w:rsidRPr="004B4834">
        <w:rPr>
          <w:rFonts w:asciiTheme="majorHAnsi" w:hAnsiTheme="majorHAnsi" w:cstheme="majorHAnsi"/>
          <w:i/>
          <w:sz w:val="22"/>
          <w:szCs w:val="22"/>
        </w:rPr>
        <w:t xml:space="preserve"> “Deleghe al Governo in materia di riorganizzazione delle amministrazioni pubbliche”.</w:t>
      </w:r>
    </w:p>
  </w:footnote>
  <w:footnote w:id="54">
    <w:p w:rsidR="007C03D0" w:rsidRPr="004B4834" w:rsidRDefault="007C03D0" w:rsidP="009903C3">
      <w:pPr>
        <w:pStyle w:val="NormaleWeb"/>
        <w:spacing w:before="0" w:beforeAutospacing="0" w:after="0" w:afterAutospacing="0"/>
        <w:contextualSpacing/>
        <w:jc w:val="both"/>
        <w:rPr>
          <w:rFonts w:asciiTheme="majorHAnsi" w:hAnsiTheme="majorHAnsi" w:cstheme="majorHAnsi"/>
          <w:i/>
          <w:sz w:val="22"/>
          <w:szCs w:val="22"/>
        </w:rPr>
      </w:pPr>
      <w:r w:rsidRPr="004B4834">
        <w:rPr>
          <w:rStyle w:val="Rimandonotaapidipagina"/>
          <w:rFonts w:asciiTheme="majorHAnsi" w:hAnsiTheme="majorHAnsi" w:cstheme="majorHAnsi"/>
          <w:i/>
          <w:sz w:val="22"/>
          <w:szCs w:val="22"/>
        </w:rPr>
        <w:footnoteRef/>
      </w:r>
      <w:r w:rsidRPr="004B4834">
        <w:rPr>
          <w:rFonts w:asciiTheme="majorHAnsi" w:hAnsiTheme="majorHAnsi" w:cstheme="majorHAnsi"/>
          <w:i/>
          <w:sz w:val="22"/>
          <w:szCs w:val="22"/>
        </w:rPr>
        <w:t xml:space="preserve"> </w:t>
      </w:r>
      <w:r w:rsidRPr="004B4834">
        <w:rPr>
          <w:rFonts w:asciiTheme="majorHAnsi" w:hAnsiTheme="majorHAnsi" w:cstheme="majorHAnsi"/>
          <w:sz w:val="22"/>
          <w:szCs w:val="22"/>
        </w:rPr>
        <w:t xml:space="preserve">Rubricato </w:t>
      </w:r>
      <w:r w:rsidRPr="004B4834">
        <w:rPr>
          <w:rFonts w:asciiTheme="majorHAnsi" w:hAnsiTheme="majorHAnsi" w:cstheme="majorHAnsi"/>
          <w:i/>
          <w:sz w:val="22"/>
          <w:szCs w:val="22"/>
        </w:rPr>
        <w:t>“</w:t>
      </w:r>
      <w:r w:rsidRPr="004B4834">
        <w:rPr>
          <w:rFonts w:asciiTheme="majorHAnsi" w:hAnsiTheme="majorHAnsi" w:cstheme="majorHAnsi"/>
          <w:bCs/>
          <w:i/>
          <w:color w:val="000000"/>
          <w:sz w:val="22"/>
          <w:szCs w:val="22"/>
        </w:rPr>
        <w:t>Revisione e semplificazione delle disposizioni in materia di prevenzione della corruzione, pubblicità e trasparenza”.</w:t>
      </w:r>
    </w:p>
  </w:footnote>
  <w:footnote w:id="55">
    <w:p w:rsidR="007C03D0" w:rsidRPr="002B715A" w:rsidRDefault="007C03D0" w:rsidP="009903C3">
      <w:pPr>
        <w:pStyle w:val="Testonotaapidipagina"/>
        <w:jc w:val="both"/>
        <w:rPr>
          <w:sz w:val="22"/>
          <w:szCs w:val="22"/>
        </w:rPr>
      </w:pPr>
      <w:r w:rsidRPr="002B715A">
        <w:rPr>
          <w:rStyle w:val="Rimandonotaapidipagina"/>
          <w:sz w:val="22"/>
          <w:szCs w:val="22"/>
        </w:rPr>
        <w:footnoteRef/>
      </w:r>
      <w:r w:rsidRPr="002B715A">
        <w:rPr>
          <w:sz w:val="22"/>
          <w:szCs w:val="22"/>
        </w:rPr>
        <w:t xml:space="preserve"> Legge regionale 16 marzo 2011, n.</w:t>
      </w:r>
      <w:r>
        <w:rPr>
          <w:sz w:val="22"/>
          <w:szCs w:val="22"/>
        </w:rPr>
        <w:t xml:space="preserve"> </w:t>
      </w:r>
      <w:proofErr w:type="gramStart"/>
      <w:r w:rsidRPr="002B715A">
        <w:rPr>
          <w:sz w:val="22"/>
          <w:szCs w:val="22"/>
        </w:rPr>
        <w:t>1 ”</w:t>
      </w:r>
      <w:r w:rsidRPr="002B715A">
        <w:rPr>
          <w:i/>
          <w:sz w:val="22"/>
          <w:szCs w:val="22"/>
        </w:rPr>
        <w:t>Norme</w:t>
      </w:r>
      <w:proofErr w:type="gramEnd"/>
      <w:r w:rsidRPr="002B715A">
        <w:rPr>
          <w:i/>
          <w:sz w:val="22"/>
          <w:szCs w:val="22"/>
        </w:rPr>
        <w:t xml:space="preserve"> in materia di ottimizzazione della produttività del lavoro pubblico e di efficienza e trasparenza delle amministrazioni regionali. Modifiche alla legge regionale 18 febbraio 2002, n.6”. </w:t>
      </w:r>
    </w:p>
  </w:footnote>
  <w:footnote w:id="56">
    <w:p w:rsidR="007C03D0" w:rsidRPr="002B715A" w:rsidRDefault="007C03D0" w:rsidP="009903C3">
      <w:pPr>
        <w:pStyle w:val="Testonotaapidipagina"/>
        <w:jc w:val="both"/>
        <w:rPr>
          <w:sz w:val="22"/>
          <w:szCs w:val="22"/>
        </w:rPr>
      </w:pPr>
      <w:r w:rsidRPr="002B715A">
        <w:rPr>
          <w:rStyle w:val="Rimandonotaapidipagina"/>
          <w:sz w:val="22"/>
          <w:szCs w:val="22"/>
        </w:rPr>
        <w:footnoteRef/>
      </w:r>
      <w:r w:rsidRPr="002B715A">
        <w:rPr>
          <w:sz w:val="22"/>
          <w:szCs w:val="22"/>
        </w:rPr>
        <w:t xml:space="preserve"> In attuazione dell’articolo 11 del d.lgs. 150/2009, da ultimo abrogato dall’art. 53, comma 1, </w:t>
      </w:r>
      <w:proofErr w:type="spellStart"/>
      <w:r w:rsidRPr="002B715A">
        <w:rPr>
          <w:sz w:val="22"/>
          <w:szCs w:val="22"/>
        </w:rPr>
        <w:t>lett</w:t>
      </w:r>
      <w:proofErr w:type="spellEnd"/>
      <w:r w:rsidRPr="002B715A">
        <w:rPr>
          <w:sz w:val="22"/>
          <w:szCs w:val="22"/>
        </w:rPr>
        <w:t>. i), del d.lgs. 33/2013.</w:t>
      </w:r>
    </w:p>
  </w:footnote>
  <w:footnote w:id="57">
    <w:p w:rsidR="007C03D0" w:rsidRPr="00550F69" w:rsidRDefault="007C03D0" w:rsidP="00C63A7F">
      <w:pPr>
        <w:pStyle w:val="PreformattatoHTML"/>
        <w:jc w:val="both"/>
        <w:textAlignment w:val="baseline"/>
        <w:outlineLvl w:val="8"/>
        <w:rPr>
          <w:rFonts w:asciiTheme="majorHAnsi" w:hAnsiTheme="majorHAnsi" w:cstheme="majorHAnsi"/>
          <w:i/>
          <w:color w:val="000000"/>
          <w:sz w:val="22"/>
          <w:szCs w:val="22"/>
        </w:rPr>
      </w:pPr>
      <w:r>
        <w:rPr>
          <w:rStyle w:val="Rimandonotaapidipagina"/>
        </w:rPr>
        <w:footnoteRef/>
      </w:r>
      <w:r>
        <w:t xml:space="preserve"> </w:t>
      </w:r>
      <w:r w:rsidRPr="00550F69">
        <w:rPr>
          <w:rFonts w:asciiTheme="majorHAnsi" w:hAnsiTheme="majorHAnsi" w:cstheme="majorHAnsi"/>
          <w:sz w:val="22"/>
          <w:szCs w:val="22"/>
        </w:rPr>
        <w:t xml:space="preserve">Esso prevede che </w:t>
      </w:r>
      <w:proofErr w:type="spellStart"/>
      <w:r w:rsidRPr="00550F69">
        <w:rPr>
          <w:rFonts w:asciiTheme="majorHAnsi" w:hAnsiTheme="majorHAnsi" w:cstheme="majorHAnsi"/>
          <w:sz w:val="22"/>
          <w:szCs w:val="22"/>
        </w:rPr>
        <w:t>l’Anac</w:t>
      </w:r>
      <w:proofErr w:type="spellEnd"/>
      <w:r w:rsidRPr="00550F69">
        <w:rPr>
          <w:rFonts w:asciiTheme="majorHAnsi" w:hAnsiTheme="majorHAnsi" w:cstheme="majorHAnsi"/>
          <w:sz w:val="22"/>
          <w:szCs w:val="22"/>
        </w:rPr>
        <w:t xml:space="preserve"> “</w:t>
      </w:r>
      <w:r w:rsidRPr="00550F69">
        <w:rPr>
          <w:rFonts w:asciiTheme="majorHAnsi" w:hAnsiTheme="majorHAnsi" w:cstheme="majorHAnsi"/>
          <w:i/>
          <w:color w:val="000000"/>
          <w:sz w:val="22"/>
          <w:szCs w:val="22"/>
        </w:rPr>
        <w:t>salvo che il fatto costituisca reato, applica,</w:t>
      </w:r>
      <w:r>
        <w:rPr>
          <w:rFonts w:asciiTheme="majorHAnsi" w:hAnsiTheme="majorHAnsi" w:cstheme="majorHAnsi"/>
          <w:i/>
          <w:color w:val="000000"/>
          <w:sz w:val="22"/>
          <w:szCs w:val="22"/>
        </w:rPr>
        <w:t xml:space="preserve"> </w:t>
      </w:r>
      <w:r w:rsidRPr="00550F69">
        <w:rPr>
          <w:rFonts w:asciiTheme="majorHAnsi" w:hAnsiTheme="majorHAnsi" w:cstheme="majorHAnsi"/>
          <w:i/>
          <w:color w:val="000000"/>
          <w:sz w:val="22"/>
          <w:szCs w:val="22"/>
        </w:rPr>
        <w:t xml:space="preserve">nel rispetto delle norme previste dalla legge 24 novembre 1981, n. 689, una sanzione amministrativa non inferiore nel minimo a euro 1.000 </w:t>
      </w:r>
      <w:proofErr w:type="gramStart"/>
      <w:r w:rsidRPr="00550F69">
        <w:rPr>
          <w:rFonts w:asciiTheme="majorHAnsi" w:hAnsiTheme="majorHAnsi" w:cstheme="majorHAnsi"/>
          <w:i/>
          <w:color w:val="000000"/>
          <w:sz w:val="22"/>
          <w:szCs w:val="22"/>
        </w:rPr>
        <w:t>e  non</w:t>
      </w:r>
      <w:proofErr w:type="gramEnd"/>
      <w:r w:rsidRPr="00550F69">
        <w:rPr>
          <w:rFonts w:asciiTheme="majorHAnsi" w:hAnsiTheme="majorHAnsi" w:cstheme="majorHAnsi"/>
          <w:i/>
          <w:color w:val="000000"/>
          <w:sz w:val="22"/>
          <w:szCs w:val="22"/>
        </w:rPr>
        <w:t xml:space="preserve"> superiore nel massimo a euro 10.000, nel  caso  in  cui  il  soggetto obbligato ometta l'adozione dei piani triennali di prevenzione  della corruzione, dei programmi triennali di trasparenza o  dei  codici  di</w:t>
      </w:r>
    </w:p>
    <w:p w:rsidR="007C03D0" w:rsidRPr="00550F69" w:rsidRDefault="007C03D0" w:rsidP="00C6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outlineLvl w:val="8"/>
        <w:rPr>
          <w:rFonts w:asciiTheme="majorHAnsi" w:eastAsia="Times New Roman" w:hAnsiTheme="majorHAnsi" w:cstheme="majorHAnsi"/>
          <w:color w:val="000000"/>
          <w:lang w:eastAsia="it-IT"/>
        </w:rPr>
      </w:pPr>
      <w:r w:rsidRPr="00550F69">
        <w:rPr>
          <w:rFonts w:asciiTheme="majorHAnsi" w:eastAsia="Times New Roman" w:hAnsiTheme="majorHAnsi" w:cstheme="majorHAnsi"/>
          <w:i/>
          <w:color w:val="000000"/>
          <w:lang w:eastAsia="it-IT"/>
        </w:rPr>
        <w:t>comportamento</w:t>
      </w:r>
      <w:r w:rsidRPr="00550F69">
        <w:rPr>
          <w:rFonts w:asciiTheme="majorHAnsi" w:eastAsia="Times New Roman" w:hAnsiTheme="majorHAnsi" w:cstheme="majorHAnsi"/>
          <w:color w:val="000000"/>
          <w:lang w:eastAsia="it-IT"/>
        </w:rPr>
        <w:t>.</w:t>
      </w:r>
      <w:r>
        <w:rPr>
          <w:rFonts w:asciiTheme="majorHAnsi" w:eastAsia="Times New Roman" w:hAnsiTheme="majorHAnsi" w:cstheme="majorHAnsi"/>
          <w:color w:val="000000"/>
          <w:lang w:eastAsia="it-IT"/>
        </w:rPr>
        <w:t>”.</w:t>
      </w:r>
      <w:r w:rsidRPr="00550F69">
        <w:rPr>
          <w:rFonts w:asciiTheme="majorHAnsi" w:eastAsia="Times New Roman" w:hAnsiTheme="majorHAnsi" w:cstheme="majorHAnsi"/>
          <w:color w:val="000000"/>
          <w:lang w:eastAsia="it-IT"/>
        </w:rPr>
        <w:t xml:space="preserve"> </w:t>
      </w:r>
    </w:p>
    <w:p w:rsidR="007C03D0" w:rsidRDefault="007C03D0" w:rsidP="009903C3">
      <w:pPr>
        <w:pStyle w:val="Testonotaapidipagina"/>
        <w:jc w:val="both"/>
        <w:outlineLvl w:val="8"/>
      </w:pPr>
    </w:p>
  </w:footnote>
  <w:footnote w:id="58">
    <w:p w:rsidR="007C03D0" w:rsidRPr="00A74783" w:rsidRDefault="007C03D0" w:rsidP="009903C3">
      <w:pPr>
        <w:pStyle w:val="Testonotaapidipagina"/>
        <w:jc w:val="both"/>
        <w:rPr>
          <w:sz w:val="22"/>
          <w:szCs w:val="22"/>
        </w:rPr>
      </w:pPr>
      <w:r w:rsidRPr="00A74783">
        <w:rPr>
          <w:rStyle w:val="Rimandonotaapidipagina"/>
          <w:sz w:val="22"/>
          <w:szCs w:val="22"/>
        </w:rPr>
        <w:footnoteRef/>
      </w:r>
      <w:r w:rsidRPr="00A74783">
        <w:rPr>
          <w:sz w:val="22"/>
          <w:szCs w:val="22"/>
        </w:rPr>
        <w:t xml:space="preserve"> Ai sensi dell’articolo 43, comma 3, del d.lgs. 33/2013 e ss.mm.,</w:t>
      </w:r>
      <w:r w:rsidRPr="00A74783">
        <w:rPr>
          <w:i/>
          <w:sz w:val="22"/>
          <w:szCs w:val="22"/>
        </w:rPr>
        <w:t xml:space="preserve"> “i dirigenti responsabili degli uffici dell’amministrazione garantiscono il tempestivo e regolare flusso delle informazioni da pubblicare ai fini del rispetto dei termini stabiliti dalla legge”.</w:t>
      </w:r>
    </w:p>
  </w:footnote>
  <w:footnote w:id="59">
    <w:p w:rsidR="007C03D0" w:rsidRPr="00397AFE" w:rsidRDefault="007C03D0" w:rsidP="009903C3">
      <w:pPr>
        <w:pStyle w:val="NormaleWeb"/>
        <w:shd w:val="clear" w:color="auto" w:fill="FFFFFF"/>
        <w:spacing w:before="0" w:beforeAutospacing="0" w:after="0" w:afterAutospacing="0" w:line="234" w:lineRule="atLeast"/>
        <w:rPr>
          <w:sz w:val="22"/>
          <w:szCs w:val="22"/>
        </w:rPr>
      </w:pPr>
      <w:r w:rsidRPr="00397AFE">
        <w:rPr>
          <w:rStyle w:val="Rimandonotaapidipagina"/>
          <w:sz w:val="22"/>
          <w:szCs w:val="22"/>
        </w:rPr>
        <w:footnoteRef/>
      </w:r>
      <w:r w:rsidRPr="00397AFE">
        <w:rPr>
          <w:sz w:val="22"/>
          <w:szCs w:val="22"/>
        </w:rPr>
        <w:t xml:space="preserve"> </w:t>
      </w:r>
      <w:r w:rsidRPr="00183EA9">
        <w:rPr>
          <w:sz w:val="22"/>
          <w:szCs w:val="22"/>
        </w:rPr>
        <w:t xml:space="preserve">Le Linee guida sono state pubblicate </w:t>
      </w:r>
      <w:r w:rsidRPr="00183EA9">
        <w:rPr>
          <w:rStyle w:val="Enfasicorsivo"/>
          <w:i w:val="0"/>
          <w:color w:val="292929"/>
          <w:sz w:val="22"/>
          <w:szCs w:val="22"/>
        </w:rPr>
        <w:t>sulla Gazzetta Ufficiale n. 134 del 12 giugno 2014 e sono reperibili</w:t>
      </w:r>
      <w:r w:rsidRPr="00183EA9">
        <w:rPr>
          <w:rStyle w:val="Enfasicorsivo"/>
          <w:color w:val="292929"/>
          <w:sz w:val="22"/>
          <w:szCs w:val="22"/>
        </w:rPr>
        <w:t xml:space="preserve"> </w:t>
      </w:r>
      <w:r w:rsidRPr="00183EA9">
        <w:rPr>
          <w:sz w:val="22"/>
          <w:szCs w:val="22"/>
        </w:rPr>
        <w:t>al seguente indirizzo</w:t>
      </w:r>
      <w:r w:rsidRPr="00183EA9">
        <w:t>:</w:t>
      </w:r>
      <w:r w:rsidRPr="00397AFE">
        <w:rPr>
          <w:sz w:val="22"/>
          <w:szCs w:val="22"/>
        </w:rPr>
        <w:t xml:space="preserve"> </w:t>
      </w:r>
      <w:hyperlink r:id="rId10" w:history="1">
        <w:r w:rsidRPr="00E7071B">
          <w:rPr>
            <w:rStyle w:val="Collegamentoipertestuale"/>
            <w:sz w:val="22"/>
            <w:szCs w:val="22"/>
          </w:rPr>
          <w:t>http://194.242.234.211/documents/10160/0/La+trasparenza+sui+siti+web+della+PA+-+Linee+guida+del+Garante.pdf</w:t>
        </w:r>
      </w:hyperlink>
      <w:r>
        <w:rPr>
          <w:sz w:val="22"/>
          <w:szCs w:val="22"/>
        </w:rPr>
        <w:t xml:space="preserve"> </w:t>
      </w:r>
    </w:p>
  </w:footnote>
  <w:footnote w:id="60">
    <w:p w:rsidR="007C03D0" w:rsidRPr="009903C3" w:rsidRDefault="007C03D0" w:rsidP="009903C3">
      <w:pPr>
        <w:pStyle w:val="Testonotaapidipagina"/>
        <w:jc w:val="both"/>
        <w:rPr>
          <w:i/>
          <w:sz w:val="22"/>
          <w:szCs w:val="22"/>
        </w:rPr>
      </w:pPr>
      <w:r w:rsidRPr="009903C3">
        <w:rPr>
          <w:rStyle w:val="Rimandonotaapidipagina"/>
          <w:sz w:val="22"/>
          <w:szCs w:val="22"/>
        </w:rPr>
        <w:footnoteRef/>
      </w:r>
      <w:r w:rsidRPr="009903C3">
        <w:rPr>
          <w:sz w:val="22"/>
          <w:szCs w:val="22"/>
        </w:rPr>
        <w:t xml:space="preserve"> D.lgs. 22/2013 e ss.mm. “</w:t>
      </w:r>
      <w:r w:rsidRPr="009903C3">
        <w:rPr>
          <w:i/>
          <w:sz w:val="22"/>
          <w:szCs w:val="22"/>
        </w:rPr>
        <w:t>Articolo 5-bis (Esclusioni e limiti all'accesso civico) 1. L'accesso civico di cui all'articolo 5, comma 2, è rifiutato se il diniego è necessario per evitare un pregiudizio concreto alla tutela di uno degli interessi pubblici inerenti a: a) la sicurezza pubblica e l'ordine pubblico; b) la sicurezza nazionale; c) la difesa e le questioni militari; d) le relazioni internazionali; e) la politica e la stabilità finanziaria ed economica dello Stato; f) la conduzione di indagini sui reati e il loro perseguimento; g) il regolare svolgimento di attività ispettive. 2. L'accesso di cui all'articolo 5, comma 2, è altresì rifiutato se il diniego è necessario per evitare un pregiudizio concreto alla tutela di uno dei seguenti interessi privati: a) la protezione dei dati personali, in conformità con la disciplina legislativa in materia; b) la libertà e la segretezza della corrispondenza; c) gli interessi economici e commerciali di una persona fisica o giuridica, ivi compresi la proprietà intellettuale, il diritto d'autore e i segreti commerciali. 3. 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 4. Restano fermi gli obblighi di pubblicazione previsti dalla normativa vigente. Se i limiti di cui ai commi 1 e 2 riguardano soltanto alcuni dati o alcune parti del documento richiesto, deve essere consentito l'accesso agli altri dati o alle altre parti. 5. I limiti di cui ai commi 1 e 2 si applicano unicamente per il periodo nel quale la protezione è giustificata in relazione alla natura del dato. L'accesso civico non può essere negato ove, per la tutela degli interessi di cui ai commi 1 e 2, sia sufficiente fare ricorso al potere di differimento. 6. Ai fini della definizione delle esclusioni e dei limiti all'accesso civico di cui al presente articolo, l'Autorità nazionale anticorruzione, d'intesa con il Garante per la protezione dei dati personali e sentita la Conferenza unificata di cui all'articolo 8 del decreto legislativo 28 agosto 1997, n. 281, adotta linee guida recanti indicazioni operative.”.</w:t>
      </w:r>
    </w:p>
  </w:footnote>
  <w:footnote w:id="61">
    <w:p w:rsidR="007C03D0" w:rsidRPr="009903C3" w:rsidRDefault="007C03D0" w:rsidP="009903C3">
      <w:pPr>
        <w:pStyle w:val="Testonotaapidipagina"/>
        <w:rPr>
          <w:sz w:val="22"/>
          <w:szCs w:val="22"/>
        </w:rPr>
      </w:pPr>
      <w:r w:rsidRPr="009903C3">
        <w:rPr>
          <w:rStyle w:val="Rimandonotaapidipagina"/>
          <w:sz w:val="22"/>
          <w:szCs w:val="22"/>
        </w:rPr>
        <w:footnoteRef/>
      </w:r>
      <w:r w:rsidRPr="009903C3">
        <w:rPr>
          <w:sz w:val="22"/>
          <w:szCs w:val="22"/>
        </w:rPr>
        <w:t xml:space="preserve"> Si veda la precedente nota n. 68.</w:t>
      </w:r>
    </w:p>
  </w:footnote>
  <w:footnote w:id="62">
    <w:p w:rsidR="007C03D0" w:rsidRPr="00A017B4" w:rsidRDefault="007C03D0" w:rsidP="009903C3">
      <w:pPr>
        <w:pStyle w:val="Testonotaapidipagina"/>
        <w:jc w:val="both"/>
        <w:rPr>
          <w:sz w:val="22"/>
          <w:szCs w:val="22"/>
        </w:rPr>
      </w:pPr>
      <w:r w:rsidRPr="00A017B4">
        <w:rPr>
          <w:rStyle w:val="Rimandonotaapidipagina"/>
          <w:sz w:val="22"/>
          <w:szCs w:val="22"/>
        </w:rPr>
        <w:footnoteRef/>
      </w:r>
      <w:r w:rsidRPr="00A017B4">
        <w:rPr>
          <w:sz w:val="22"/>
          <w:szCs w:val="22"/>
        </w:rPr>
        <w:t xml:space="preserve"> Sul punto, si evidenzia che il d.lgs. 97/2016 ha abrogato l’art. 24 del d.lgs. 33/2013 che disponeva, al comma 2, l’obbligo di pubblicazione del monitoraggio in questione. Tuttavia</w:t>
      </w:r>
      <w:r>
        <w:rPr>
          <w:sz w:val="22"/>
          <w:szCs w:val="22"/>
        </w:rPr>
        <w:t>,</w:t>
      </w:r>
      <w:r w:rsidRPr="00A017B4">
        <w:rPr>
          <w:sz w:val="22"/>
          <w:szCs w:val="22"/>
        </w:rPr>
        <w:t xml:space="preserve"> deve rilevarsi che tuttora è vigente la disposizione di cui all’art. 1, c. 28 della legge 190/2012 che prevede l’obbligo di pubblicazione. Preso atto del fatto che anche la relazione d’accompagnamento al d.lgs. 97/2016 nulla dica in proposito, non appare del tutto chiarito se l’obbligo di pubblicazione sia oggi rimasto tale.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0" w:rsidRDefault="007C03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0" w:rsidRDefault="007C03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D0" w:rsidRDefault="007C03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3AF"/>
    <w:multiLevelType w:val="multilevel"/>
    <w:tmpl w:val="9D32EC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735122"/>
    <w:multiLevelType w:val="hybridMultilevel"/>
    <w:tmpl w:val="6F8CC0FE"/>
    <w:lvl w:ilvl="0" w:tplc="626E94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522A5"/>
    <w:multiLevelType w:val="hybridMultilevel"/>
    <w:tmpl w:val="DEC83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334F6"/>
    <w:multiLevelType w:val="hybridMultilevel"/>
    <w:tmpl w:val="AD2605EC"/>
    <w:lvl w:ilvl="0" w:tplc="B712DC14">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15:restartNumberingAfterBreak="0">
    <w:nsid w:val="259C01E3"/>
    <w:multiLevelType w:val="multilevel"/>
    <w:tmpl w:val="F842C85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261361FD"/>
    <w:multiLevelType w:val="hybridMultilevel"/>
    <w:tmpl w:val="024A2454"/>
    <w:lvl w:ilvl="0" w:tplc="61162736">
      <w:numFmt w:val="bullet"/>
      <w:lvlText w:val="-"/>
      <w:lvlJc w:val="left"/>
      <w:pPr>
        <w:ind w:left="1428" w:hanging="360"/>
      </w:pPr>
      <w:rPr>
        <w:rFonts w:ascii="Book Antiqua" w:eastAsia="Times New Roman" w:hAnsi="Book Antiqua"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8685285"/>
    <w:multiLevelType w:val="multilevel"/>
    <w:tmpl w:val="E01E61F0"/>
    <w:lvl w:ilvl="0">
      <w:start w:val="2"/>
      <w:numFmt w:val="decimal"/>
      <w:lvlText w:val="%1."/>
      <w:lvlJc w:val="left"/>
      <w:pPr>
        <w:tabs>
          <w:tab w:val="num" w:pos="540"/>
        </w:tabs>
        <w:ind w:left="540" w:hanging="540"/>
      </w:pPr>
      <w:rPr>
        <w:rFonts w:hint="default"/>
        <w:b/>
        <w:color w:val="auto"/>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91E2BA0"/>
    <w:multiLevelType w:val="multilevel"/>
    <w:tmpl w:val="A656B4D2"/>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A3A3564"/>
    <w:multiLevelType w:val="hybridMultilevel"/>
    <w:tmpl w:val="03F29F40"/>
    <w:lvl w:ilvl="0" w:tplc="61162736">
      <w:numFmt w:val="bullet"/>
      <w:lvlText w:val="-"/>
      <w:lvlJc w:val="left"/>
      <w:pPr>
        <w:ind w:left="1428" w:hanging="360"/>
      </w:pPr>
      <w:rPr>
        <w:rFonts w:ascii="Book Antiqua" w:eastAsia="Times New Roman" w:hAnsi="Book Antiqua"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DC0575D"/>
    <w:multiLevelType w:val="hybridMultilevel"/>
    <w:tmpl w:val="8CFABD90"/>
    <w:lvl w:ilvl="0" w:tplc="61162736">
      <w:numFmt w:val="bullet"/>
      <w:lvlText w:val="-"/>
      <w:lvlJc w:val="left"/>
      <w:pPr>
        <w:ind w:left="1428" w:hanging="360"/>
      </w:pPr>
      <w:rPr>
        <w:rFonts w:ascii="Book Antiqua" w:eastAsia="Times New Roman" w:hAnsi="Book Antiqua"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E024D82"/>
    <w:multiLevelType w:val="hybridMultilevel"/>
    <w:tmpl w:val="186C2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3048DB"/>
    <w:multiLevelType w:val="hybridMultilevel"/>
    <w:tmpl w:val="F68637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140AA"/>
    <w:multiLevelType w:val="hybridMultilevel"/>
    <w:tmpl w:val="1A489350"/>
    <w:lvl w:ilvl="0" w:tplc="04100005">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A025C5"/>
    <w:multiLevelType w:val="hybridMultilevel"/>
    <w:tmpl w:val="80F6DC84"/>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C76BA5"/>
    <w:multiLevelType w:val="multilevel"/>
    <w:tmpl w:val="B66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80762"/>
    <w:multiLevelType w:val="hybridMultilevel"/>
    <w:tmpl w:val="2244D2A6"/>
    <w:lvl w:ilvl="0" w:tplc="C5C80036">
      <w:start w:val="1"/>
      <w:numFmt w:val="bullet"/>
      <w:lvlText w:val=""/>
      <w:lvlJc w:val="left"/>
      <w:pPr>
        <w:tabs>
          <w:tab w:val="num" w:pos="1428"/>
        </w:tabs>
        <w:ind w:left="1428" w:hanging="360"/>
      </w:pPr>
      <w:rPr>
        <w:rFonts w:ascii="Wingdings" w:hAnsi="Wingdings" w:hint="default"/>
        <w:color w:val="auto"/>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FFA7F4B"/>
    <w:multiLevelType w:val="multilevel"/>
    <w:tmpl w:val="5AA84DA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3A479F8"/>
    <w:multiLevelType w:val="hybridMultilevel"/>
    <w:tmpl w:val="BF082216"/>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635AA7"/>
    <w:multiLevelType w:val="hybridMultilevel"/>
    <w:tmpl w:val="1BA01DC0"/>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821F20"/>
    <w:multiLevelType w:val="hybridMultilevel"/>
    <w:tmpl w:val="A316152E"/>
    <w:lvl w:ilvl="0" w:tplc="04100005">
      <w:start w:val="1"/>
      <w:numFmt w:val="bullet"/>
      <w:lvlText w:val=""/>
      <w:lvlJc w:val="left"/>
      <w:pPr>
        <w:tabs>
          <w:tab w:val="num" w:pos="720"/>
        </w:tabs>
        <w:ind w:left="720" w:hanging="360"/>
      </w:pPr>
      <w:rPr>
        <w:rFonts w:ascii="Wingdings" w:hAnsi="Wingdings" w:hint="default"/>
      </w:rPr>
    </w:lvl>
    <w:lvl w:ilvl="1" w:tplc="1898C7C4">
      <w:numFmt w:val="bullet"/>
      <w:lvlText w:val="-"/>
      <w:lvlJc w:val="left"/>
      <w:pPr>
        <w:tabs>
          <w:tab w:val="num" w:pos="1695"/>
        </w:tabs>
        <w:ind w:left="1695" w:hanging="615"/>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80220"/>
    <w:multiLevelType w:val="hybridMultilevel"/>
    <w:tmpl w:val="7CFADE96"/>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7F74B53"/>
    <w:multiLevelType w:val="hybridMultilevel"/>
    <w:tmpl w:val="C922CC60"/>
    <w:lvl w:ilvl="0" w:tplc="8AD0F0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7F7E55"/>
    <w:multiLevelType w:val="hybridMultilevel"/>
    <w:tmpl w:val="F2821C42"/>
    <w:lvl w:ilvl="0" w:tplc="04100005">
      <w:start w:val="1"/>
      <w:numFmt w:val="bullet"/>
      <w:lvlText w:val=""/>
      <w:lvlJc w:val="left"/>
      <w:pPr>
        <w:tabs>
          <w:tab w:val="num" w:pos="720"/>
        </w:tabs>
        <w:ind w:left="720" w:hanging="360"/>
      </w:pPr>
      <w:rPr>
        <w:rFonts w:ascii="Wingdings" w:hAnsi="Wingdings" w:hint="default"/>
      </w:rPr>
    </w:lvl>
    <w:lvl w:ilvl="1" w:tplc="6D942CBA">
      <w:start w:val="1"/>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033882"/>
    <w:multiLevelType w:val="hybridMultilevel"/>
    <w:tmpl w:val="06E019EE"/>
    <w:lvl w:ilvl="0" w:tplc="04100005">
      <w:start w:val="1"/>
      <w:numFmt w:val="bullet"/>
      <w:lvlText w:val=""/>
      <w:lvlJc w:val="left"/>
      <w:pPr>
        <w:tabs>
          <w:tab w:val="num" w:pos="1490"/>
        </w:tabs>
        <w:ind w:left="1490" w:hanging="360"/>
      </w:pPr>
      <w:rPr>
        <w:rFonts w:ascii="Wingdings" w:hAnsi="Wingdings" w:hint="default"/>
      </w:rPr>
    </w:lvl>
    <w:lvl w:ilvl="1" w:tplc="04100003" w:tentative="1">
      <w:start w:val="1"/>
      <w:numFmt w:val="bullet"/>
      <w:lvlText w:val="o"/>
      <w:lvlJc w:val="left"/>
      <w:pPr>
        <w:tabs>
          <w:tab w:val="num" w:pos="2210"/>
        </w:tabs>
        <w:ind w:left="2210" w:hanging="360"/>
      </w:pPr>
      <w:rPr>
        <w:rFonts w:ascii="Courier New" w:hAnsi="Courier New" w:cs="Courier New" w:hint="default"/>
      </w:rPr>
    </w:lvl>
    <w:lvl w:ilvl="2" w:tplc="04100005" w:tentative="1">
      <w:start w:val="1"/>
      <w:numFmt w:val="bullet"/>
      <w:lvlText w:val=""/>
      <w:lvlJc w:val="left"/>
      <w:pPr>
        <w:tabs>
          <w:tab w:val="num" w:pos="2930"/>
        </w:tabs>
        <w:ind w:left="2930" w:hanging="360"/>
      </w:pPr>
      <w:rPr>
        <w:rFonts w:ascii="Wingdings" w:hAnsi="Wingdings" w:hint="default"/>
      </w:rPr>
    </w:lvl>
    <w:lvl w:ilvl="3" w:tplc="04100001" w:tentative="1">
      <w:start w:val="1"/>
      <w:numFmt w:val="bullet"/>
      <w:lvlText w:val=""/>
      <w:lvlJc w:val="left"/>
      <w:pPr>
        <w:tabs>
          <w:tab w:val="num" w:pos="3650"/>
        </w:tabs>
        <w:ind w:left="3650" w:hanging="360"/>
      </w:pPr>
      <w:rPr>
        <w:rFonts w:ascii="Symbol" w:hAnsi="Symbol" w:hint="default"/>
      </w:rPr>
    </w:lvl>
    <w:lvl w:ilvl="4" w:tplc="04100003" w:tentative="1">
      <w:start w:val="1"/>
      <w:numFmt w:val="bullet"/>
      <w:lvlText w:val="o"/>
      <w:lvlJc w:val="left"/>
      <w:pPr>
        <w:tabs>
          <w:tab w:val="num" w:pos="4370"/>
        </w:tabs>
        <w:ind w:left="4370" w:hanging="360"/>
      </w:pPr>
      <w:rPr>
        <w:rFonts w:ascii="Courier New" w:hAnsi="Courier New" w:cs="Courier New" w:hint="default"/>
      </w:rPr>
    </w:lvl>
    <w:lvl w:ilvl="5" w:tplc="04100005" w:tentative="1">
      <w:start w:val="1"/>
      <w:numFmt w:val="bullet"/>
      <w:lvlText w:val=""/>
      <w:lvlJc w:val="left"/>
      <w:pPr>
        <w:tabs>
          <w:tab w:val="num" w:pos="5090"/>
        </w:tabs>
        <w:ind w:left="5090" w:hanging="360"/>
      </w:pPr>
      <w:rPr>
        <w:rFonts w:ascii="Wingdings" w:hAnsi="Wingdings" w:hint="default"/>
      </w:rPr>
    </w:lvl>
    <w:lvl w:ilvl="6" w:tplc="04100001" w:tentative="1">
      <w:start w:val="1"/>
      <w:numFmt w:val="bullet"/>
      <w:lvlText w:val=""/>
      <w:lvlJc w:val="left"/>
      <w:pPr>
        <w:tabs>
          <w:tab w:val="num" w:pos="5810"/>
        </w:tabs>
        <w:ind w:left="5810" w:hanging="360"/>
      </w:pPr>
      <w:rPr>
        <w:rFonts w:ascii="Symbol" w:hAnsi="Symbol" w:hint="default"/>
      </w:rPr>
    </w:lvl>
    <w:lvl w:ilvl="7" w:tplc="04100003" w:tentative="1">
      <w:start w:val="1"/>
      <w:numFmt w:val="bullet"/>
      <w:lvlText w:val="o"/>
      <w:lvlJc w:val="left"/>
      <w:pPr>
        <w:tabs>
          <w:tab w:val="num" w:pos="6530"/>
        </w:tabs>
        <w:ind w:left="6530" w:hanging="360"/>
      </w:pPr>
      <w:rPr>
        <w:rFonts w:ascii="Courier New" w:hAnsi="Courier New" w:cs="Courier New" w:hint="default"/>
      </w:rPr>
    </w:lvl>
    <w:lvl w:ilvl="8" w:tplc="04100005" w:tentative="1">
      <w:start w:val="1"/>
      <w:numFmt w:val="bullet"/>
      <w:lvlText w:val=""/>
      <w:lvlJc w:val="left"/>
      <w:pPr>
        <w:tabs>
          <w:tab w:val="num" w:pos="7250"/>
        </w:tabs>
        <w:ind w:left="7250" w:hanging="360"/>
      </w:pPr>
      <w:rPr>
        <w:rFonts w:ascii="Wingdings" w:hAnsi="Wingdings" w:hint="default"/>
      </w:rPr>
    </w:lvl>
  </w:abstractNum>
  <w:abstractNum w:abstractNumId="24" w15:restartNumberingAfterBreak="0">
    <w:nsid w:val="6B81742B"/>
    <w:multiLevelType w:val="hybridMultilevel"/>
    <w:tmpl w:val="01E88FA8"/>
    <w:lvl w:ilvl="0" w:tplc="89EC8722">
      <w:start w:val="10"/>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BC0384"/>
    <w:multiLevelType w:val="hybridMultilevel"/>
    <w:tmpl w:val="38429AF0"/>
    <w:lvl w:ilvl="0" w:tplc="456C8DF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84DF2"/>
    <w:multiLevelType w:val="hybridMultilevel"/>
    <w:tmpl w:val="F9C24766"/>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22304A6"/>
    <w:multiLevelType w:val="hybridMultilevel"/>
    <w:tmpl w:val="2DF2F858"/>
    <w:lvl w:ilvl="0" w:tplc="D7882988">
      <w:start w:val="1"/>
      <w:numFmt w:val="bullet"/>
      <w:lvlText w:val=""/>
      <w:lvlJc w:val="left"/>
      <w:pPr>
        <w:tabs>
          <w:tab w:val="num" w:pos="780"/>
        </w:tabs>
        <w:ind w:left="780" w:hanging="360"/>
      </w:pPr>
      <w:rPr>
        <w:rFonts w:ascii="Wingdings" w:hAnsi="Wingdings"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92A0B3A"/>
    <w:multiLevelType w:val="hybridMultilevel"/>
    <w:tmpl w:val="590EDE68"/>
    <w:lvl w:ilvl="0" w:tplc="0410000F">
      <w:start w:val="1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9785441"/>
    <w:multiLevelType w:val="multilevel"/>
    <w:tmpl w:val="FD7C1644"/>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6"/>
  </w:num>
  <w:num w:numId="2">
    <w:abstractNumId w:val="15"/>
  </w:num>
  <w:num w:numId="3">
    <w:abstractNumId w:val="20"/>
  </w:num>
  <w:num w:numId="4">
    <w:abstractNumId w:val="22"/>
  </w:num>
  <w:num w:numId="5">
    <w:abstractNumId w:val="19"/>
  </w:num>
  <w:num w:numId="6">
    <w:abstractNumId w:val="25"/>
  </w:num>
  <w:num w:numId="7">
    <w:abstractNumId w:val="23"/>
  </w:num>
  <w:num w:numId="8">
    <w:abstractNumId w:val="6"/>
  </w:num>
  <w:num w:numId="9">
    <w:abstractNumId w:val="27"/>
  </w:num>
  <w:num w:numId="10">
    <w:abstractNumId w:val="11"/>
  </w:num>
  <w:num w:numId="11">
    <w:abstractNumId w:val="0"/>
  </w:num>
  <w:num w:numId="12">
    <w:abstractNumId w:val="12"/>
  </w:num>
  <w:num w:numId="13">
    <w:abstractNumId w:val="4"/>
  </w:num>
  <w:num w:numId="14">
    <w:abstractNumId w:val="29"/>
  </w:num>
  <w:num w:numId="15">
    <w:abstractNumId w:val="14"/>
  </w:num>
  <w:num w:numId="16">
    <w:abstractNumId w:val="1"/>
  </w:num>
  <w:num w:numId="17">
    <w:abstractNumId w:val="24"/>
  </w:num>
  <w:num w:numId="18">
    <w:abstractNumId w:val="7"/>
  </w:num>
  <w:num w:numId="19">
    <w:abstractNumId w:val="3"/>
  </w:num>
  <w:num w:numId="20">
    <w:abstractNumId w:val="10"/>
  </w:num>
  <w:num w:numId="21">
    <w:abstractNumId w:val="16"/>
  </w:num>
  <w:num w:numId="22">
    <w:abstractNumId w:val="28"/>
  </w:num>
  <w:num w:numId="23">
    <w:abstractNumId w:val="2"/>
  </w:num>
  <w:num w:numId="24">
    <w:abstractNumId w:val="18"/>
  </w:num>
  <w:num w:numId="25">
    <w:abstractNumId w:val="13"/>
  </w:num>
  <w:num w:numId="26">
    <w:abstractNumId w:val="17"/>
  </w:num>
  <w:num w:numId="27">
    <w:abstractNumId w:val="21"/>
  </w:num>
  <w:num w:numId="28">
    <w:abstractNumId w:val="8"/>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82"/>
    <w:rsid w:val="00004E32"/>
    <w:rsid w:val="0000702F"/>
    <w:rsid w:val="00015F41"/>
    <w:rsid w:val="00023193"/>
    <w:rsid w:val="000238C1"/>
    <w:rsid w:val="0002552A"/>
    <w:rsid w:val="000314D1"/>
    <w:rsid w:val="0003617A"/>
    <w:rsid w:val="00040AEF"/>
    <w:rsid w:val="00046585"/>
    <w:rsid w:val="000512C2"/>
    <w:rsid w:val="000519DC"/>
    <w:rsid w:val="000552EF"/>
    <w:rsid w:val="000612D3"/>
    <w:rsid w:val="0007159B"/>
    <w:rsid w:val="00071AEF"/>
    <w:rsid w:val="00073D5D"/>
    <w:rsid w:val="00074175"/>
    <w:rsid w:val="00075C4B"/>
    <w:rsid w:val="000835A2"/>
    <w:rsid w:val="0008555D"/>
    <w:rsid w:val="00086DEE"/>
    <w:rsid w:val="00087E89"/>
    <w:rsid w:val="00091790"/>
    <w:rsid w:val="000951CF"/>
    <w:rsid w:val="000A672F"/>
    <w:rsid w:val="000B05B9"/>
    <w:rsid w:val="000B0C82"/>
    <w:rsid w:val="000C1A36"/>
    <w:rsid w:val="000C42E8"/>
    <w:rsid w:val="000D18E6"/>
    <w:rsid w:val="000E236E"/>
    <w:rsid w:val="000E5873"/>
    <w:rsid w:val="000E794A"/>
    <w:rsid w:val="00120E5C"/>
    <w:rsid w:val="00121976"/>
    <w:rsid w:val="00123D5B"/>
    <w:rsid w:val="001352D3"/>
    <w:rsid w:val="00135D08"/>
    <w:rsid w:val="00140F72"/>
    <w:rsid w:val="0014696D"/>
    <w:rsid w:val="00146B23"/>
    <w:rsid w:val="00147782"/>
    <w:rsid w:val="00157F3C"/>
    <w:rsid w:val="00162BD3"/>
    <w:rsid w:val="001734B6"/>
    <w:rsid w:val="00175961"/>
    <w:rsid w:val="0017744B"/>
    <w:rsid w:val="00182240"/>
    <w:rsid w:val="001954E3"/>
    <w:rsid w:val="00195EA2"/>
    <w:rsid w:val="001B1B94"/>
    <w:rsid w:val="001C2ED3"/>
    <w:rsid w:val="001D00C2"/>
    <w:rsid w:val="001D2695"/>
    <w:rsid w:val="001D4185"/>
    <w:rsid w:val="001F3CE7"/>
    <w:rsid w:val="001F7F24"/>
    <w:rsid w:val="002030D8"/>
    <w:rsid w:val="00221BAF"/>
    <w:rsid w:val="002235A7"/>
    <w:rsid w:val="00230FEB"/>
    <w:rsid w:val="00232003"/>
    <w:rsid w:val="00233284"/>
    <w:rsid w:val="00250257"/>
    <w:rsid w:val="00250644"/>
    <w:rsid w:val="002569DA"/>
    <w:rsid w:val="00270DA6"/>
    <w:rsid w:val="002775F4"/>
    <w:rsid w:val="002822B0"/>
    <w:rsid w:val="00283195"/>
    <w:rsid w:val="00296C8A"/>
    <w:rsid w:val="002A2737"/>
    <w:rsid w:val="002A3EE0"/>
    <w:rsid w:val="002A40BD"/>
    <w:rsid w:val="002A713E"/>
    <w:rsid w:val="002B1D46"/>
    <w:rsid w:val="002C704D"/>
    <w:rsid w:val="002D2D69"/>
    <w:rsid w:val="002D348F"/>
    <w:rsid w:val="002E067D"/>
    <w:rsid w:val="002E20FA"/>
    <w:rsid w:val="002E3490"/>
    <w:rsid w:val="002E58FB"/>
    <w:rsid w:val="002F7108"/>
    <w:rsid w:val="00304CDF"/>
    <w:rsid w:val="00307036"/>
    <w:rsid w:val="00313E33"/>
    <w:rsid w:val="0031489C"/>
    <w:rsid w:val="00315D7A"/>
    <w:rsid w:val="00316BD1"/>
    <w:rsid w:val="0032179C"/>
    <w:rsid w:val="0034701B"/>
    <w:rsid w:val="003518D4"/>
    <w:rsid w:val="00352F3C"/>
    <w:rsid w:val="003548F0"/>
    <w:rsid w:val="003578E3"/>
    <w:rsid w:val="003606D5"/>
    <w:rsid w:val="00363C5F"/>
    <w:rsid w:val="003662E6"/>
    <w:rsid w:val="003701C7"/>
    <w:rsid w:val="00372A2C"/>
    <w:rsid w:val="00374EA8"/>
    <w:rsid w:val="003812C1"/>
    <w:rsid w:val="00384D27"/>
    <w:rsid w:val="0038775C"/>
    <w:rsid w:val="00390008"/>
    <w:rsid w:val="00391CFB"/>
    <w:rsid w:val="00396583"/>
    <w:rsid w:val="003969CC"/>
    <w:rsid w:val="00397A9F"/>
    <w:rsid w:val="00397E6F"/>
    <w:rsid w:val="003A1D6F"/>
    <w:rsid w:val="003A6E07"/>
    <w:rsid w:val="003B1D3B"/>
    <w:rsid w:val="003B31B6"/>
    <w:rsid w:val="003D0F77"/>
    <w:rsid w:val="003D485E"/>
    <w:rsid w:val="003F3263"/>
    <w:rsid w:val="003F6893"/>
    <w:rsid w:val="003F6E1E"/>
    <w:rsid w:val="00403753"/>
    <w:rsid w:val="00403F03"/>
    <w:rsid w:val="00405720"/>
    <w:rsid w:val="00411E82"/>
    <w:rsid w:val="004148C6"/>
    <w:rsid w:val="00424B80"/>
    <w:rsid w:val="0043040D"/>
    <w:rsid w:val="004378D2"/>
    <w:rsid w:val="00437C5A"/>
    <w:rsid w:val="00450393"/>
    <w:rsid w:val="00471609"/>
    <w:rsid w:val="004744D1"/>
    <w:rsid w:val="004812C9"/>
    <w:rsid w:val="00481AC9"/>
    <w:rsid w:val="004A1921"/>
    <w:rsid w:val="004A2C68"/>
    <w:rsid w:val="004A310F"/>
    <w:rsid w:val="004B182E"/>
    <w:rsid w:val="004C117C"/>
    <w:rsid w:val="004C324B"/>
    <w:rsid w:val="004C4F7D"/>
    <w:rsid w:val="004C711C"/>
    <w:rsid w:val="004C7FFB"/>
    <w:rsid w:val="004D01F3"/>
    <w:rsid w:val="004D306B"/>
    <w:rsid w:val="004D4DAA"/>
    <w:rsid w:val="004D7BA9"/>
    <w:rsid w:val="004D7C79"/>
    <w:rsid w:val="004E2C4C"/>
    <w:rsid w:val="004F2704"/>
    <w:rsid w:val="004F2E87"/>
    <w:rsid w:val="0050018E"/>
    <w:rsid w:val="00505A6B"/>
    <w:rsid w:val="0051154D"/>
    <w:rsid w:val="00512521"/>
    <w:rsid w:val="005142AF"/>
    <w:rsid w:val="00526DFB"/>
    <w:rsid w:val="00533AD0"/>
    <w:rsid w:val="00534ED2"/>
    <w:rsid w:val="0053739B"/>
    <w:rsid w:val="005373A9"/>
    <w:rsid w:val="00552835"/>
    <w:rsid w:val="00553871"/>
    <w:rsid w:val="00553A16"/>
    <w:rsid w:val="00560273"/>
    <w:rsid w:val="005634DD"/>
    <w:rsid w:val="0056623A"/>
    <w:rsid w:val="005663CD"/>
    <w:rsid w:val="00575985"/>
    <w:rsid w:val="00585862"/>
    <w:rsid w:val="00591CAE"/>
    <w:rsid w:val="005A5BAE"/>
    <w:rsid w:val="005B4EFA"/>
    <w:rsid w:val="005C18FD"/>
    <w:rsid w:val="005C3812"/>
    <w:rsid w:val="005C4D73"/>
    <w:rsid w:val="005C79C4"/>
    <w:rsid w:val="005D32AF"/>
    <w:rsid w:val="005D4AA8"/>
    <w:rsid w:val="005D68EC"/>
    <w:rsid w:val="005D6A08"/>
    <w:rsid w:val="005E6566"/>
    <w:rsid w:val="005E73DA"/>
    <w:rsid w:val="005F1CB4"/>
    <w:rsid w:val="005F4F33"/>
    <w:rsid w:val="005F54F5"/>
    <w:rsid w:val="005F5EB5"/>
    <w:rsid w:val="005F7207"/>
    <w:rsid w:val="00600C0E"/>
    <w:rsid w:val="0060234A"/>
    <w:rsid w:val="006111B7"/>
    <w:rsid w:val="006169AE"/>
    <w:rsid w:val="00616FB4"/>
    <w:rsid w:val="006245FC"/>
    <w:rsid w:val="00642BD5"/>
    <w:rsid w:val="00643764"/>
    <w:rsid w:val="0065552D"/>
    <w:rsid w:val="00662436"/>
    <w:rsid w:val="006736B9"/>
    <w:rsid w:val="00676493"/>
    <w:rsid w:val="00680015"/>
    <w:rsid w:val="00680EF3"/>
    <w:rsid w:val="00684C81"/>
    <w:rsid w:val="00686FAF"/>
    <w:rsid w:val="00693678"/>
    <w:rsid w:val="00695698"/>
    <w:rsid w:val="006A0DF2"/>
    <w:rsid w:val="006A62B5"/>
    <w:rsid w:val="006C679D"/>
    <w:rsid w:val="006D4CD3"/>
    <w:rsid w:val="006E3BAA"/>
    <w:rsid w:val="006F39CB"/>
    <w:rsid w:val="006F3B9D"/>
    <w:rsid w:val="006F4529"/>
    <w:rsid w:val="0070457D"/>
    <w:rsid w:val="007062EC"/>
    <w:rsid w:val="0072290E"/>
    <w:rsid w:val="00723874"/>
    <w:rsid w:val="007313AE"/>
    <w:rsid w:val="007314DD"/>
    <w:rsid w:val="007320A1"/>
    <w:rsid w:val="00733E0A"/>
    <w:rsid w:val="00750AA9"/>
    <w:rsid w:val="007523DA"/>
    <w:rsid w:val="0075523D"/>
    <w:rsid w:val="00756DA4"/>
    <w:rsid w:val="007574A5"/>
    <w:rsid w:val="007665CF"/>
    <w:rsid w:val="0078229B"/>
    <w:rsid w:val="0078252B"/>
    <w:rsid w:val="0078297A"/>
    <w:rsid w:val="00783A1D"/>
    <w:rsid w:val="00787450"/>
    <w:rsid w:val="007A4836"/>
    <w:rsid w:val="007A6719"/>
    <w:rsid w:val="007B0361"/>
    <w:rsid w:val="007B7895"/>
    <w:rsid w:val="007C03D0"/>
    <w:rsid w:val="007C3AFB"/>
    <w:rsid w:val="007C5045"/>
    <w:rsid w:val="007D1DFE"/>
    <w:rsid w:val="007D348B"/>
    <w:rsid w:val="007D35FC"/>
    <w:rsid w:val="007E3659"/>
    <w:rsid w:val="00801F49"/>
    <w:rsid w:val="00806553"/>
    <w:rsid w:val="008079F5"/>
    <w:rsid w:val="008201AA"/>
    <w:rsid w:val="0082089A"/>
    <w:rsid w:val="00820FA5"/>
    <w:rsid w:val="008223E4"/>
    <w:rsid w:val="00823DD8"/>
    <w:rsid w:val="008249C0"/>
    <w:rsid w:val="0083038D"/>
    <w:rsid w:val="00835673"/>
    <w:rsid w:val="00837876"/>
    <w:rsid w:val="0084136A"/>
    <w:rsid w:val="00847FCF"/>
    <w:rsid w:val="0085060A"/>
    <w:rsid w:val="008521C6"/>
    <w:rsid w:val="008537A5"/>
    <w:rsid w:val="008575CA"/>
    <w:rsid w:val="00860012"/>
    <w:rsid w:val="00861643"/>
    <w:rsid w:val="00861AB8"/>
    <w:rsid w:val="008628A7"/>
    <w:rsid w:val="00865A99"/>
    <w:rsid w:val="0088099E"/>
    <w:rsid w:val="00884599"/>
    <w:rsid w:val="00884EA2"/>
    <w:rsid w:val="0089073D"/>
    <w:rsid w:val="0089150B"/>
    <w:rsid w:val="00892BC9"/>
    <w:rsid w:val="008955D5"/>
    <w:rsid w:val="00896E6B"/>
    <w:rsid w:val="008A0A06"/>
    <w:rsid w:val="008A44EF"/>
    <w:rsid w:val="008A4F6A"/>
    <w:rsid w:val="008C11B2"/>
    <w:rsid w:val="008C187E"/>
    <w:rsid w:val="008C3004"/>
    <w:rsid w:val="008C7596"/>
    <w:rsid w:val="008D331F"/>
    <w:rsid w:val="008E09BE"/>
    <w:rsid w:val="008F2E94"/>
    <w:rsid w:val="008F54F0"/>
    <w:rsid w:val="008F74F5"/>
    <w:rsid w:val="00900DF9"/>
    <w:rsid w:val="00902630"/>
    <w:rsid w:val="00902A90"/>
    <w:rsid w:val="00904A20"/>
    <w:rsid w:val="00906354"/>
    <w:rsid w:val="00911A96"/>
    <w:rsid w:val="00915FA2"/>
    <w:rsid w:val="0091796D"/>
    <w:rsid w:val="00924062"/>
    <w:rsid w:val="00924BAE"/>
    <w:rsid w:val="00924C7E"/>
    <w:rsid w:val="00927896"/>
    <w:rsid w:val="0093167F"/>
    <w:rsid w:val="00934079"/>
    <w:rsid w:val="0093582F"/>
    <w:rsid w:val="009373B7"/>
    <w:rsid w:val="00940A6B"/>
    <w:rsid w:val="009458F7"/>
    <w:rsid w:val="0097286B"/>
    <w:rsid w:val="009800D7"/>
    <w:rsid w:val="00980AEB"/>
    <w:rsid w:val="00985F4F"/>
    <w:rsid w:val="00985F7E"/>
    <w:rsid w:val="00987DE1"/>
    <w:rsid w:val="009903C3"/>
    <w:rsid w:val="009A1E49"/>
    <w:rsid w:val="009A568F"/>
    <w:rsid w:val="009A754B"/>
    <w:rsid w:val="009B21FE"/>
    <w:rsid w:val="009B4A06"/>
    <w:rsid w:val="009C0052"/>
    <w:rsid w:val="009C0D83"/>
    <w:rsid w:val="009C0DD4"/>
    <w:rsid w:val="009D0271"/>
    <w:rsid w:val="009D736A"/>
    <w:rsid w:val="009E356F"/>
    <w:rsid w:val="009E3EA5"/>
    <w:rsid w:val="009E7783"/>
    <w:rsid w:val="009F096F"/>
    <w:rsid w:val="00A070EE"/>
    <w:rsid w:val="00A07BE8"/>
    <w:rsid w:val="00A12C7C"/>
    <w:rsid w:val="00A17624"/>
    <w:rsid w:val="00A27BCF"/>
    <w:rsid w:val="00A31F45"/>
    <w:rsid w:val="00A35808"/>
    <w:rsid w:val="00A3772C"/>
    <w:rsid w:val="00A458E0"/>
    <w:rsid w:val="00A4593F"/>
    <w:rsid w:val="00A45D0E"/>
    <w:rsid w:val="00A5577E"/>
    <w:rsid w:val="00A67733"/>
    <w:rsid w:val="00A72676"/>
    <w:rsid w:val="00A764EE"/>
    <w:rsid w:val="00A85F14"/>
    <w:rsid w:val="00A868EC"/>
    <w:rsid w:val="00A906A3"/>
    <w:rsid w:val="00A959BF"/>
    <w:rsid w:val="00AA401F"/>
    <w:rsid w:val="00AA7BC0"/>
    <w:rsid w:val="00AA7ED5"/>
    <w:rsid w:val="00AB4234"/>
    <w:rsid w:val="00AC65CA"/>
    <w:rsid w:val="00AC7236"/>
    <w:rsid w:val="00AD1DFD"/>
    <w:rsid w:val="00AD353B"/>
    <w:rsid w:val="00AD606F"/>
    <w:rsid w:val="00AD6E8F"/>
    <w:rsid w:val="00AD7A57"/>
    <w:rsid w:val="00B028CD"/>
    <w:rsid w:val="00B13C5F"/>
    <w:rsid w:val="00B15B4C"/>
    <w:rsid w:val="00B16CA1"/>
    <w:rsid w:val="00B20C0C"/>
    <w:rsid w:val="00B22997"/>
    <w:rsid w:val="00B2374D"/>
    <w:rsid w:val="00B250A2"/>
    <w:rsid w:val="00B33BC7"/>
    <w:rsid w:val="00B40C11"/>
    <w:rsid w:val="00B45BD3"/>
    <w:rsid w:val="00B46224"/>
    <w:rsid w:val="00B5211E"/>
    <w:rsid w:val="00B6568C"/>
    <w:rsid w:val="00B660B6"/>
    <w:rsid w:val="00B708C0"/>
    <w:rsid w:val="00B75AC0"/>
    <w:rsid w:val="00B80722"/>
    <w:rsid w:val="00B846DB"/>
    <w:rsid w:val="00B85E47"/>
    <w:rsid w:val="00B90468"/>
    <w:rsid w:val="00B93668"/>
    <w:rsid w:val="00BB21A6"/>
    <w:rsid w:val="00BB4211"/>
    <w:rsid w:val="00BB6D95"/>
    <w:rsid w:val="00BC3B22"/>
    <w:rsid w:val="00BC6FE9"/>
    <w:rsid w:val="00BE4C08"/>
    <w:rsid w:val="00BE526A"/>
    <w:rsid w:val="00BE6BDE"/>
    <w:rsid w:val="00BE6FD2"/>
    <w:rsid w:val="00BF45B1"/>
    <w:rsid w:val="00C011E6"/>
    <w:rsid w:val="00C04D88"/>
    <w:rsid w:val="00C143B1"/>
    <w:rsid w:val="00C23C1B"/>
    <w:rsid w:val="00C315B7"/>
    <w:rsid w:val="00C34D55"/>
    <w:rsid w:val="00C50FFE"/>
    <w:rsid w:val="00C5140D"/>
    <w:rsid w:val="00C5451F"/>
    <w:rsid w:val="00C60728"/>
    <w:rsid w:val="00C620E8"/>
    <w:rsid w:val="00C63A7F"/>
    <w:rsid w:val="00C71546"/>
    <w:rsid w:val="00C72CBD"/>
    <w:rsid w:val="00C8007C"/>
    <w:rsid w:val="00C91328"/>
    <w:rsid w:val="00C91751"/>
    <w:rsid w:val="00C97267"/>
    <w:rsid w:val="00CA37DE"/>
    <w:rsid w:val="00CC311B"/>
    <w:rsid w:val="00CE3BF4"/>
    <w:rsid w:val="00CE6288"/>
    <w:rsid w:val="00CF2D23"/>
    <w:rsid w:val="00CF786D"/>
    <w:rsid w:val="00D014B5"/>
    <w:rsid w:val="00D0189E"/>
    <w:rsid w:val="00D031CC"/>
    <w:rsid w:val="00D07756"/>
    <w:rsid w:val="00D106ED"/>
    <w:rsid w:val="00D12417"/>
    <w:rsid w:val="00D14E96"/>
    <w:rsid w:val="00D20CB2"/>
    <w:rsid w:val="00D23E9F"/>
    <w:rsid w:val="00D31221"/>
    <w:rsid w:val="00D323C1"/>
    <w:rsid w:val="00D356B2"/>
    <w:rsid w:val="00D41610"/>
    <w:rsid w:val="00D4200F"/>
    <w:rsid w:val="00D55CDD"/>
    <w:rsid w:val="00D71A52"/>
    <w:rsid w:val="00D8062D"/>
    <w:rsid w:val="00D865AD"/>
    <w:rsid w:val="00D8719A"/>
    <w:rsid w:val="00D8782B"/>
    <w:rsid w:val="00D91C7E"/>
    <w:rsid w:val="00D9244C"/>
    <w:rsid w:val="00DA1D2B"/>
    <w:rsid w:val="00DA290E"/>
    <w:rsid w:val="00DB2165"/>
    <w:rsid w:val="00DC1A01"/>
    <w:rsid w:val="00DC372B"/>
    <w:rsid w:val="00DC6A48"/>
    <w:rsid w:val="00DD0946"/>
    <w:rsid w:val="00DD3189"/>
    <w:rsid w:val="00DD6B0B"/>
    <w:rsid w:val="00DE1C9C"/>
    <w:rsid w:val="00DE4006"/>
    <w:rsid w:val="00DE5D8F"/>
    <w:rsid w:val="00DF101E"/>
    <w:rsid w:val="00E04456"/>
    <w:rsid w:val="00E0466E"/>
    <w:rsid w:val="00E152B8"/>
    <w:rsid w:val="00E23699"/>
    <w:rsid w:val="00E23D6A"/>
    <w:rsid w:val="00E2494C"/>
    <w:rsid w:val="00E25A2E"/>
    <w:rsid w:val="00E267DA"/>
    <w:rsid w:val="00E31BD8"/>
    <w:rsid w:val="00E3532C"/>
    <w:rsid w:val="00E35C23"/>
    <w:rsid w:val="00E4038F"/>
    <w:rsid w:val="00E456EF"/>
    <w:rsid w:val="00E45778"/>
    <w:rsid w:val="00E51680"/>
    <w:rsid w:val="00E57338"/>
    <w:rsid w:val="00E648FA"/>
    <w:rsid w:val="00E64F69"/>
    <w:rsid w:val="00E7009A"/>
    <w:rsid w:val="00E70234"/>
    <w:rsid w:val="00E70A00"/>
    <w:rsid w:val="00E76605"/>
    <w:rsid w:val="00E85080"/>
    <w:rsid w:val="00E87A42"/>
    <w:rsid w:val="00E97CD9"/>
    <w:rsid w:val="00EA56ED"/>
    <w:rsid w:val="00EC4A93"/>
    <w:rsid w:val="00EC4F34"/>
    <w:rsid w:val="00ED190B"/>
    <w:rsid w:val="00ED2E7A"/>
    <w:rsid w:val="00EE0C12"/>
    <w:rsid w:val="00EE0E66"/>
    <w:rsid w:val="00EE5752"/>
    <w:rsid w:val="00EE67C0"/>
    <w:rsid w:val="00EF2EA6"/>
    <w:rsid w:val="00EF59A1"/>
    <w:rsid w:val="00F00BE4"/>
    <w:rsid w:val="00F048CC"/>
    <w:rsid w:val="00F14E42"/>
    <w:rsid w:val="00F16041"/>
    <w:rsid w:val="00F2330B"/>
    <w:rsid w:val="00F24B9A"/>
    <w:rsid w:val="00F2569F"/>
    <w:rsid w:val="00F32860"/>
    <w:rsid w:val="00F346FD"/>
    <w:rsid w:val="00F36126"/>
    <w:rsid w:val="00F51566"/>
    <w:rsid w:val="00F55D3B"/>
    <w:rsid w:val="00F57CC4"/>
    <w:rsid w:val="00F678EF"/>
    <w:rsid w:val="00F73B5E"/>
    <w:rsid w:val="00F73F72"/>
    <w:rsid w:val="00F74B08"/>
    <w:rsid w:val="00F802BF"/>
    <w:rsid w:val="00F81F1C"/>
    <w:rsid w:val="00F822B9"/>
    <w:rsid w:val="00F904AD"/>
    <w:rsid w:val="00F973B2"/>
    <w:rsid w:val="00FA1BCF"/>
    <w:rsid w:val="00FA215C"/>
    <w:rsid w:val="00FB4A15"/>
    <w:rsid w:val="00FD160A"/>
    <w:rsid w:val="00FD2F7E"/>
    <w:rsid w:val="00FE3B93"/>
    <w:rsid w:val="00FE528A"/>
    <w:rsid w:val="00FF0DAF"/>
    <w:rsid w:val="00FF3A92"/>
    <w:rsid w:val="00FF4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4AAB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F45"/>
  </w:style>
  <w:style w:type="paragraph" w:styleId="Titolo1">
    <w:name w:val="heading 1"/>
    <w:basedOn w:val="Normale"/>
    <w:next w:val="Normale"/>
    <w:link w:val="Titolo1Carattere"/>
    <w:uiPriority w:val="9"/>
    <w:qFormat/>
    <w:rsid w:val="00B33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nhideWhenUsed/>
    <w:qFormat/>
    <w:rsid w:val="009903C3"/>
    <w:pPr>
      <w:keepNext/>
      <w:spacing w:before="240" w:after="60" w:line="240" w:lineRule="auto"/>
      <w:outlineLvl w:val="2"/>
    </w:pPr>
    <w:rPr>
      <w:rFonts w:ascii="Calibri Light" w:eastAsia="Times New Roman" w:hAnsi="Calibri Light" w:cs="Times New Roman"/>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1F45"/>
    <w:pPr>
      <w:ind w:left="720"/>
      <w:contextualSpacing/>
    </w:pPr>
  </w:style>
  <w:style w:type="character" w:customStyle="1" w:styleId="Titolo3Carattere">
    <w:name w:val="Titolo 3 Carattere"/>
    <w:basedOn w:val="Carpredefinitoparagrafo"/>
    <w:link w:val="Titolo3"/>
    <w:rsid w:val="009903C3"/>
    <w:rPr>
      <w:rFonts w:ascii="Calibri Light" w:eastAsia="Times New Roman" w:hAnsi="Calibri Light" w:cs="Times New Roman"/>
      <w:b/>
      <w:bCs/>
      <w:sz w:val="26"/>
      <w:szCs w:val="26"/>
      <w:lang w:eastAsia="it-IT"/>
    </w:rPr>
  </w:style>
  <w:style w:type="numbering" w:customStyle="1" w:styleId="Nessunelenco1">
    <w:name w:val="Nessun elenco1"/>
    <w:next w:val="Nessunelenco"/>
    <w:uiPriority w:val="99"/>
    <w:semiHidden/>
    <w:unhideWhenUsed/>
    <w:rsid w:val="009903C3"/>
  </w:style>
  <w:style w:type="paragraph" w:styleId="Testonotaapidipagina">
    <w:name w:val="footnote text"/>
    <w:basedOn w:val="Normale"/>
    <w:link w:val="TestonotaapidipaginaCarattere"/>
    <w:semiHidden/>
    <w:rsid w:val="009903C3"/>
    <w:pPr>
      <w:spacing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03C3"/>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9903C3"/>
    <w:rPr>
      <w:vertAlign w:val="superscript"/>
    </w:rPr>
  </w:style>
  <w:style w:type="character" w:styleId="Enfasicorsivo">
    <w:name w:val="Emphasis"/>
    <w:uiPriority w:val="20"/>
    <w:qFormat/>
    <w:rsid w:val="009903C3"/>
    <w:rPr>
      <w:i/>
      <w:iCs/>
    </w:rPr>
  </w:style>
  <w:style w:type="character" w:styleId="Collegamentoipertestuale">
    <w:name w:val="Hyperlink"/>
    <w:rsid w:val="009903C3"/>
    <w:rPr>
      <w:color w:val="003399"/>
      <w:u w:val="single"/>
    </w:rPr>
  </w:style>
  <w:style w:type="character" w:styleId="Enfasigrassetto">
    <w:name w:val="Strong"/>
    <w:uiPriority w:val="22"/>
    <w:qFormat/>
    <w:rsid w:val="009903C3"/>
    <w:rPr>
      <w:b/>
      <w:bCs/>
    </w:rPr>
  </w:style>
  <w:style w:type="paragraph" w:customStyle="1" w:styleId="grassetto1">
    <w:name w:val="grassetto1"/>
    <w:basedOn w:val="Normale"/>
    <w:rsid w:val="009903C3"/>
    <w:pPr>
      <w:spacing w:after="24"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rsid w:val="009903C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9903C3"/>
    <w:pPr>
      <w:spacing w:before="120" w:after="120" w:line="320" w:lineRule="exact"/>
      <w:ind w:left="720" w:firstLine="170"/>
      <w:contextualSpacing/>
      <w:jc w:val="both"/>
    </w:pPr>
    <w:rPr>
      <w:rFonts w:ascii="Times New Roman" w:eastAsia="Times New Roman" w:hAnsi="Times New Roman" w:cs="Times New Roman"/>
      <w:sz w:val="24"/>
    </w:rPr>
  </w:style>
  <w:style w:type="paragraph" w:styleId="Testofumetto">
    <w:name w:val="Balloon Text"/>
    <w:basedOn w:val="Normale"/>
    <w:link w:val="TestofumettoCarattere"/>
    <w:semiHidden/>
    <w:rsid w:val="009903C3"/>
    <w:pPr>
      <w:spacing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903C3"/>
    <w:rPr>
      <w:rFonts w:ascii="Tahoma" w:eastAsia="Times New Roman" w:hAnsi="Tahoma" w:cs="Tahoma"/>
      <w:sz w:val="16"/>
      <w:szCs w:val="16"/>
      <w:lang w:eastAsia="it-IT"/>
    </w:rPr>
  </w:style>
  <w:style w:type="paragraph" w:customStyle="1" w:styleId="Standard">
    <w:name w:val="Standard"/>
    <w:rsid w:val="009903C3"/>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9903C3"/>
    <w:pPr>
      <w:suppressAutoHyphens/>
      <w:autoSpaceDN w:val="0"/>
      <w:spacing w:line="240" w:lineRule="auto"/>
      <w:textAlignment w:val="baseline"/>
    </w:pPr>
    <w:rPr>
      <w:rFonts w:ascii="Kunstler Script" w:eastAsia="SimSun" w:hAnsi="Kunstler Script" w:cs="Kunstler Script"/>
      <w:color w:val="000000"/>
      <w:kern w:val="3"/>
      <w:sz w:val="24"/>
      <w:szCs w:val="24"/>
      <w:lang w:eastAsia="zh-CN" w:bidi="hi-IN"/>
    </w:rPr>
  </w:style>
  <w:style w:type="paragraph" w:customStyle="1" w:styleId="provvr0">
    <w:name w:val="provv_r0"/>
    <w:basedOn w:val="Normale"/>
    <w:rsid w:val="009903C3"/>
    <w:pPr>
      <w:autoSpaceDN w:val="0"/>
      <w:spacing w:before="100" w:after="100" w:line="240" w:lineRule="auto"/>
      <w:jc w:val="both"/>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903C3"/>
    <w:pPr>
      <w:tabs>
        <w:tab w:val="center" w:pos="4819"/>
        <w:tab w:val="right" w:pos="9638"/>
      </w:tabs>
      <w:spacing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903C3"/>
    <w:rPr>
      <w:rFonts w:ascii="Times New Roman" w:eastAsia="Times New Roman" w:hAnsi="Times New Roman" w:cs="Times New Roman"/>
      <w:sz w:val="24"/>
      <w:szCs w:val="24"/>
      <w:lang w:eastAsia="it-IT"/>
    </w:rPr>
  </w:style>
  <w:style w:type="character" w:styleId="Numeropagina">
    <w:name w:val="page number"/>
    <w:basedOn w:val="Carpredefinitoparagrafo"/>
    <w:rsid w:val="009903C3"/>
  </w:style>
  <w:style w:type="character" w:customStyle="1" w:styleId="rosso1">
    <w:name w:val="rosso1"/>
    <w:rsid w:val="009903C3"/>
    <w:rPr>
      <w:b w:val="0"/>
      <w:bCs w:val="0"/>
      <w:vanish w:val="0"/>
      <w:webHidden w:val="0"/>
      <w:color w:val="990000"/>
      <w:specVanish w:val="0"/>
    </w:rPr>
  </w:style>
  <w:style w:type="paragraph" w:styleId="PreformattatoHTML">
    <w:name w:val="HTML Preformatted"/>
    <w:basedOn w:val="Normale"/>
    <w:link w:val="PreformattatoHTMLCarattere"/>
    <w:uiPriority w:val="99"/>
    <w:rsid w:val="0099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03C3"/>
    <w:rPr>
      <w:rFonts w:ascii="Courier New" w:eastAsia="Times New Roman" w:hAnsi="Courier New" w:cs="Courier New"/>
      <w:sz w:val="20"/>
      <w:szCs w:val="20"/>
      <w:lang w:eastAsia="it-IT"/>
    </w:rPr>
  </w:style>
  <w:style w:type="character" w:customStyle="1" w:styleId="apple-converted-space">
    <w:name w:val="apple-converted-space"/>
    <w:rsid w:val="009903C3"/>
  </w:style>
  <w:style w:type="paragraph" w:customStyle="1" w:styleId="grassetto">
    <w:name w:val="grassetto"/>
    <w:basedOn w:val="Normale"/>
    <w:rsid w:val="009903C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903C3"/>
    <w:pPr>
      <w:tabs>
        <w:tab w:val="center" w:pos="4819"/>
        <w:tab w:val="right" w:pos="9638"/>
      </w:tabs>
      <w:spacing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9903C3"/>
    <w:rPr>
      <w:rFonts w:ascii="Times New Roman" w:eastAsia="Times New Roman" w:hAnsi="Times New Roman" w:cs="Times New Roman"/>
      <w:sz w:val="24"/>
      <w:szCs w:val="24"/>
      <w:lang w:eastAsia="it-IT"/>
    </w:rPr>
  </w:style>
  <w:style w:type="character" w:customStyle="1" w:styleId="Corpodeltesto">
    <w:name w:val="Corpo del testo_"/>
    <w:basedOn w:val="Carpredefinitoparagrafo"/>
    <w:link w:val="Corpodeltesto1"/>
    <w:rsid w:val="009903C3"/>
    <w:rPr>
      <w:rFonts w:ascii="Constantia" w:eastAsia="Constantia" w:hAnsi="Constantia" w:cs="Constantia"/>
      <w:spacing w:val="10"/>
      <w:sz w:val="19"/>
      <w:szCs w:val="19"/>
      <w:shd w:val="clear" w:color="auto" w:fill="FFFFFF"/>
    </w:rPr>
  </w:style>
  <w:style w:type="paragraph" w:customStyle="1" w:styleId="Corpodeltesto1">
    <w:name w:val="Corpo del testo1"/>
    <w:basedOn w:val="Normale"/>
    <w:link w:val="Corpodeltesto"/>
    <w:rsid w:val="009903C3"/>
    <w:pPr>
      <w:widowControl w:val="0"/>
      <w:shd w:val="clear" w:color="auto" w:fill="FFFFFF"/>
      <w:spacing w:line="278" w:lineRule="exact"/>
    </w:pPr>
    <w:rPr>
      <w:rFonts w:ascii="Constantia" w:eastAsia="Constantia" w:hAnsi="Constantia" w:cs="Constantia"/>
      <w:spacing w:val="10"/>
      <w:sz w:val="19"/>
      <w:szCs w:val="19"/>
    </w:rPr>
  </w:style>
  <w:style w:type="character" w:styleId="Rimandocommento">
    <w:name w:val="annotation reference"/>
    <w:basedOn w:val="Carpredefinitoparagrafo"/>
    <w:uiPriority w:val="99"/>
    <w:semiHidden/>
    <w:unhideWhenUsed/>
    <w:rsid w:val="00E76605"/>
    <w:rPr>
      <w:sz w:val="16"/>
      <w:szCs w:val="16"/>
    </w:rPr>
  </w:style>
  <w:style w:type="paragraph" w:styleId="Testocommento">
    <w:name w:val="annotation text"/>
    <w:basedOn w:val="Normale"/>
    <w:link w:val="TestocommentoCarattere"/>
    <w:uiPriority w:val="99"/>
    <w:semiHidden/>
    <w:unhideWhenUsed/>
    <w:rsid w:val="00E766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76605"/>
    <w:rPr>
      <w:sz w:val="20"/>
      <w:szCs w:val="20"/>
    </w:rPr>
  </w:style>
  <w:style w:type="paragraph" w:styleId="Soggettocommento">
    <w:name w:val="annotation subject"/>
    <w:basedOn w:val="Testocommento"/>
    <w:next w:val="Testocommento"/>
    <w:link w:val="SoggettocommentoCarattere"/>
    <w:uiPriority w:val="99"/>
    <w:semiHidden/>
    <w:unhideWhenUsed/>
    <w:rsid w:val="00E76605"/>
    <w:rPr>
      <w:b/>
      <w:bCs/>
    </w:rPr>
  </w:style>
  <w:style w:type="character" w:customStyle="1" w:styleId="SoggettocommentoCarattere">
    <w:name w:val="Soggetto commento Carattere"/>
    <w:basedOn w:val="TestocommentoCarattere"/>
    <w:link w:val="Soggettocommento"/>
    <w:uiPriority w:val="99"/>
    <w:semiHidden/>
    <w:rsid w:val="00E76605"/>
    <w:rPr>
      <w:b/>
      <w:bCs/>
      <w:sz w:val="20"/>
      <w:szCs w:val="20"/>
    </w:rPr>
  </w:style>
  <w:style w:type="character" w:customStyle="1" w:styleId="Titolo1Carattere">
    <w:name w:val="Titolo 1 Carattere"/>
    <w:basedOn w:val="Carpredefinitoparagrafo"/>
    <w:link w:val="Titolo1"/>
    <w:uiPriority w:val="9"/>
    <w:rsid w:val="00B33BC7"/>
    <w:rPr>
      <w:rFonts w:asciiTheme="majorHAnsi" w:eastAsiaTheme="majorEastAsia" w:hAnsiTheme="majorHAnsi" w:cstheme="majorBidi"/>
      <w:color w:val="2E74B5" w:themeColor="accent1" w:themeShade="BF"/>
      <w:sz w:val="32"/>
      <w:szCs w:val="32"/>
    </w:rPr>
  </w:style>
  <w:style w:type="character" w:styleId="Collegamentovisitato">
    <w:name w:val="FollowedHyperlink"/>
    <w:basedOn w:val="Carpredefinitoparagrafo"/>
    <w:uiPriority w:val="99"/>
    <w:semiHidden/>
    <w:unhideWhenUsed/>
    <w:rsid w:val="008C1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93162">
      <w:bodyDiv w:val="1"/>
      <w:marLeft w:val="0"/>
      <w:marRight w:val="0"/>
      <w:marTop w:val="0"/>
      <w:marBottom w:val="0"/>
      <w:divBdr>
        <w:top w:val="none" w:sz="0" w:space="0" w:color="auto"/>
        <w:left w:val="none" w:sz="0" w:space="0" w:color="auto"/>
        <w:bottom w:val="none" w:sz="0" w:space="0" w:color="auto"/>
        <w:right w:val="none" w:sz="0" w:space="0" w:color="auto"/>
      </w:divBdr>
    </w:div>
    <w:div w:id="1146320782">
      <w:bodyDiv w:val="1"/>
      <w:marLeft w:val="0"/>
      <w:marRight w:val="0"/>
      <w:marTop w:val="0"/>
      <w:marBottom w:val="0"/>
      <w:divBdr>
        <w:top w:val="none" w:sz="0" w:space="0" w:color="auto"/>
        <w:left w:val="none" w:sz="0" w:space="0" w:color="auto"/>
        <w:bottom w:val="none" w:sz="0" w:space="0" w:color="auto"/>
        <w:right w:val="none" w:sz="0" w:space="0" w:color="auto"/>
      </w:divBdr>
    </w:div>
    <w:div w:id="13104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portal/public/classic/Servizi/ServiziOnline/SegnalazioneWhistleblow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osettiegatti.eu/info/norme/statali/2012_0190.htm" TargetMode="External"/><Relationship Id="rId4" Type="http://schemas.openxmlformats.org/officeDocument/2006/relationships/settings" Target="settings.xml"/><Relationship Id="rId9" Type="http://schemas.openxmlformats.org/officeDocument/2006/relationships/hyperlink" Target="http://www.bosettiegatti.eu/info/norme/statali/2013_0033.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mailto:segnalazioneilleciticrl@regione.lazio.it" TargetMode="External"/><Relationship Id="rId3" Type="http://schemas.openxmlformats.org/officeDocument/2006/relationships/hyperlink" Target="http://www.europarl.europa.eu/document/activities/cont/201306/20130627ATT68701/20130627ATT68701EN.pdf" TargetMode="External"/><Relationship Id="rId7" Type="http://schemas.openxmlformats.org/officeDocument/2006/relationships/hyperlink" Target="https://www.transparency.it/wp-content/uploads/2015/05/Patti_integrita_manualetto.pdf" TargetMode="External"/><Relationship Id="rId2" Type="http://schemas.openxmlformats.org/officeDocument/2006/relationships/hyperlink" Target="http://www.camera.it/leg17/494?idLegislatura=17@categoria=038&amp;tipologiaDoc=elenco_categoria" TargetMode="External"/><Relationship Id="rId1" Type="http://schemas.openxmlformats.org/officeDocument/2006/relationships/hyperlink" Target="http://www.tuttitalia.it" TargetMode="External"/><Relationship Id="rId6" Type="http://schemas.openxmlformats.org/officeDocument/2006/relationships/hyperlink" Target="http://www.consiglio.regione.lazio.it/binary/consiglio/consiglio_atti_presidenza/Deliberazione_n_52_UdP_30_07_13_.pdf" TargetMode="External"/><Relationship Id="rId5" Type="http://schemas.openxmlformats.org/officeDocument/2006/relationships/hyperlink" Target="http://www.consiglio.regione.lazio.it/binary/crl_amministrazione_trasparente/tbl_contenuti/BURL_N_23_SUPPL_1_DEL_19_3_2015.pdf" TargetMode="External"/><Relationship Id="rId10" Type="http://schemas.openxmlformats.org/officeDocument/2006/relationships/hyperlink" Target="http://194.242.234.211/documents/10160/0/La+trasparenza+sui+siti+web+della+PA+-+Linee+guida+del+Garante.pdf" TargetMode="External"/><Relationship Id="rId4" Type="http://schemas.openxmlformats.org/officeDocument/2006/relationships/hyperlink" Target="https://www.anticorruzione.it/portal/rest/jcr/repository/collaboration/Digital%20Assets/anacdocs/Attivita/ProtocolliIntesa/2017/Prot.DNA.ANAC.13.11.2017.pdf" TargetMode="External"/><Relationship Id="rId9" Type="http://schemas.openxmlformats.org/officeDocument/2006/relationships/hyperlink" Target="http://www.anticorruzione.it/portal/public/classic/AttivitaAutorita/Consultazion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D679-E3F0-40DA-BBC9-6E9EEC6A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22406</Words>
  <Characters>127715</Characters>
  <Application>Microsoft Office Word</Application>
  <DocSecurity>0</DocSecurity>
  <Lines>1064</Lines>
  <Paragraphs>299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2018-12-18T16:37:00Z</dcterms:created>
  <dcterms:modified xsi:type="dcterms:W3CDTF">2018-12-19T13:28:00Z</dcterms:modified>
</cp:coreProperties>
</file>