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31" w:rsidRPr="00FA6931" w:rsidRDefault="00FA6931" w:rsidP="00C06F37">
      <w:pPr>
        <w:rPr>
          <w:b/>
        </w:rPr>
      </w:pPr>
      <w:r w:rsidRPr="00FA6931">
        <w:rPr>
          <w:b/>
        </w:rPr>
        <w:t>Allegato 6</w:t>
      </w:r>
    </w:p>
    <w:p w:rsidR="002347C2" w:rsidRPr="006F77DB" w:rsidRDefault="002347C2" w:rsidP="00FA6931">
      <w:pPr>
        <w:rPr>
          <w:rFonts w:ascii="Times New Roman" w:hAnsi="Times New Roman" w:cs="Times New Roman"/>
          <w:b/>
          <w:sz w:val="18"/>
          <w:szCs w:val="18"/>
        </w:rPr>
      </w:pPr>
      <w:r w:rsidRPr="006F77DB">
        <w:rPr>
          <w:rFonts w:ascii="Times New Roman" w:hAnsi="Times New Roman" w:cs="Times New Roman"/>
          <w:b/>
          <w:sz w:val="18"/>
          <w:szCs w:val="18"/>
        </w:rPr>
        <w:t>CRONOPROGRAMM</w:t>
      </w:r>
      <w:r w:rsidR="006F77DB">
        <w:rPr>
          <w:rFonts w:ascii="Times New Roman" w:hAnsi="Times New Roman" w:cs="Times New Roman"/>
          <w:b/>
          <w:sz w:val="18"/>
          <w:szCs w:val="18"/>
        </w:rPr>
        <w:t>A DELLE SCADENZE PREVISTE NELLA PARTE TESTUALE DEL PIANO</w:t>
      </w:r>
    </w:p>
    <w:tbl>
      <w:tblPr>
        <w:tblStyle w:val="Grigliatabella"/>
        <w:tblW w:w="10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4820"/>
        <w:gridCol w:w="2694"/>
      </w:tblGrid>
      <w:tr w:rsidR="00FA6931" w:rsidRPr="006F77DB" w:rsidTr="006F77DB">
        <w:tc>
          <w:tcPr>
            <w:tcW w:w="1701" w:type="dxa"/>
          </w:tcPr>
          <w:p w:rsidR="00BE4ACD" w:rsidRPr="006F77DB" w:rsidRDefault="00BE4ACD" w:rsidP="00E15ED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FA6931" w:rsidRPr="006F77DB" w:rsidRDefault="00FA6931" w:rsidP="00E15ED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F77DB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DATA</w:t>
            </w:r>
          </w:p>
          <w:p w:rsidR="00BE4ACD" w:rsidRPr="006F77DB" w:rsidRDefault="00BE4ACD" w:rsidP="00E15ED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BE4ACD" w:rsidRPr="006F77DB" w:rsidRDefault="00BE4ACD" w:rsidP="00E15ED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FA6931" w:rsidRPr="006F77DB" w:rsidRDefault="00BE4ACD" w:rsidP="00E15ED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F77DB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PARAGRA</w:t>
            </w:r>
            <w:r w:rsidR="00FA6931" w:rsidRPr="006F77DB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FO</w:t>
            </w:r>
          </w:p>
        </w:tc>
        <w:tc>
          <w:tcPr>
            <w:tcW w:w="4820" w:type="dxa"/>
          </w:tcPr>
          <w:p w:rsidR="00BE4ACD" w:rsidRPr="006F77DB" w:rsidRDefault="00BE4ACD" w:rsidP="00E15ED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FA6931" w:rsidRPr="006F77DB" w:rsidRDefault="00FA6931" w:rsidP="00E15ED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F77DB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ADEMPIMENTO/MISURA</w:t>
            </w:r>
          </w:p>
        </w:tc>
        <w:tc>
          <w:tcPr>
            <w:tcW w:w="2694" w:type="dxa"/>
          </w:tcPr>
          <w:p w:rsidR="00BE4ACD" w:rsidRPr="006F77DB" w:rsidRDefault="00BE4ACD" w:rsidP="00E15EDF">
            <w:pPr>
              <w:ind w:hanging="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  <w:p w:rsidR="00FA6931" w:rsidRPr="006F77DB" w:rsidRDefault="00FA6931" w:rsidP="00E15EDF">
            <w:pPr>
              <w:ind w:hanging="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F77DB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STRUTTURA</w:t>
            </w:r>
          </w:p>
        </w:tc>
      </w:tr>
      <w:tr w:rsidR="00D4591C" w:rsidRPr="006F77DB" w:rsidTr="006F77DB">
        <w:tc>
          <w:tcPr>
            <w:tcW w:w="1701" w:type="dxa"/>
          </w:tcPr>
          <w:p w:rsidR="00D4591C" w:rsidRDefault="00D4591C" w:rsidP="00D45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91C" w:rsidRDefault="00D4591C" w:rsidP="00D45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91C" w:rsidRPr="00D4591C" w:rsidRDefault="00D4591C" w:rsidP="00D45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GENNAIO</w:t>
            </w:r>
          </w:p>
        </w:tc>
        <w:tc>
          <w:tcPr>
            <w:tcW w:w="1701" w:type="dxa"/>
          </w:tcPr>
          <w:p w:rsidR="00D4591C" w:rsidRDefault="00D4591C" w:rsidP="00D45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91C" w:rsidRDefault="00D4591C" w:rsidP="00D45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91C" w:rsidRPr="00D4591C" w:rsidRDefault="00D4591C" w:rsidP="00141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PT</w:t>
            </w:r>
            <w:r w:rsidR="00141B8A">
              <w:rPr>
                <w:rFonts w:ascii="Times New Roman" w:hAnsi="Times New Roman" w:cs="Times New Roman"/>
                <w:sz w:val="18"/>
                <w:szCs w:val="18"/>
              </w:rPr>
              <w:t>PC</w:t>
            </w:r>
          </w:p>
        </w:tc>
        <w:tc>
          <w:tcPr>
            <w:tcW w:w="4820" w:type="dxa"/>
          </w:tcPr>
          <w:p w:rsidR="00D4591C" w:rsidRPr="00D4591C" w:rsidRDefault="00D4591C" w:rsidP="00D45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Invio al 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Responsabile della prevenzione della corruzione e trasparenza del secondo report</w:t>
            </w:r>
            <w:r w:rsidR="00C70A62">
              <w:rPr>
                <w:rFonts w:ascii="Times New Roman" w:hAnsi="Times New Roman" w:cs="Times New Roman"/>
                <w:sz w:val="18"/>
                <w:szCs w:val="18"/>
              </w:rPr>
              <w:t xml:space="preserve"> dell’anno precedente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relativo ai tempi medi di conclusione per ciascuna tipologia di procedimenti amministrativi di propria competenza. In tale report, qualora emergessero scostamenti rispetto alla tempistica prevista, dovranno essere indicati i motivi per i quali ciò sia avvenuto</w:t>
            </w:r>
          </w:p>
        </w:tc>
        <w:tc>
          <w:tcPr>
            <w:tcW w:w="2694" w:type="dxa"/>
          </w:tcPr>
          <w:p w:rsidR="00D4591C" w:rsidRDefault="00D4591C" w:rsidP="00D4591C">
            <w:pPr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91C" w:rsidRDefault="00D4591C" w:rsidP="00D4591C">
            <w:pPr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91C" w:rsidRPr="006F77DB" w:rsidRDefault="00D4591C" w:rsidP="00D4591C">
            <w:pPr>
              <w:ind w:hanging="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Ciascuna struttura a responsabilità dirigenziale</w:t>
            </w:r>
          </w:p>
        </w:tc>
      </w:tr>
      <w:tr w:rsidR="00D5465B" w:rsidRPr="006F77DB" w:rsidTr="006F77DB">
        <w:tc>
          <w:tcPr>
            <w:tcW w:w="1701" w:type="dxa"/>
          </w:tcPr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6635D9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5465B"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GENNAIO</w:t>
            </w:r>
          </w:p>
        </w:tc>
        <w:tc>
          <w:tcPr>
            <w:tcW w:w="1701" w:type="dxa"/>
          </w:tcPr>
          <w:p w:rsidR="00D5465B" w:rsidRPr="006F77DB" w:rsidRDefault="00D5465B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983C16" w:rsidP="00141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PT</w:t>
            </w:r>
            <w:r w:rsidR="00141B8A">
              <w:rPr>
                <w:rFonts w:ascii="Times New Roman" w:hAnsi="Times New Roman" w:cs="Times New Roman"/>
                <w:sz w:val="18"/>
                <w:szCs w:val="18"/>
              </w:rPr>
              <w:t>PC</w:t>
            </w:r>
          </w:p>
        </w:tc>
        <w:tc>
          <w:tcPr>
            <w:tcW w:w="4820" w:type="dxa"/>
          </w:tcPr>
          <w:p w:rsidR="00D5465B" w:rsidRPr="006F77DB" w:rsidRDefault="00D5465B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Trasmissione da parte del Responsabile per la </w:t>
            </w:r>
            <w:r w:rsidR="00983C16">
              <w:rPr>
                <w:rFonts w:ascii="Times New Roman" w:hAnsi="Times New Roman" w:cs="Times New Roman"/>
                <w:sz w:val="18"/>
                <w:szCs w:val="18"/>
              </w:rPr>
              <w:t xml:space="preserve">prevenzione della corruzione e 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trasparenza all’OIV degli esiti dell’attività di monitoraggio espletata in materia di trasparenza</w:t>
            </w:r>
          </w:p>
        </w:tc>
        <w:tc>
          <w:tcPr>
            <w:tcW w:w="2694" w:type="dxa"/>
          </w:tcPr>
          <w:p w:rsidR="00D5465B" w:rsidRPr="006F77DB" w:rsidRDefault="00D5465B" w:rsidP="00D5465B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Responsabile per</w:t>
            </w:r>
            <w:r w:rsidR="00250AF6">
              <w:rPr>
                <w:rFonts w:ascii="Times New Roman" w:hAnsi="Times New Roman" w:cs="Times New Roman"/>
                <w:sz w:val="18"/>
                <w:szCs w:val="18"/>
              </w:rPr>
              <w:t xml:space="preserve"> la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prevenzione della corruzione e trasparenza</w:t>
            </w:r>
          </w:p>
        </w:tc>
      </w:tr>
      <w:tr w:rsidR="00D5465B" w:rsidRPr="006F77DB" w:rsidTr="006F77DB">
        <w:trPr>
          <w:trHeight w:val="945"/>
        </w:trPr>
        <w:tc>
          <w:tcPr>
            <w:tcW w:w="1701" w:type="dxa"/>
            <w:vMerge w:val="restart"/>
          </w:tcPr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FEBBRAIO </w:t>
            </w: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5465B" w:rsidRPr="006F77DB" w:rsidRDefault="00D5465B" w:rsidP="00D5465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465B" w:rsidRPr="006F77DB" w:rsidRDefault="00D5465B" w:rsidP="00D5465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465B" w:rsidRPr="006F77DB" w:rsidRDefault="00D5465B" w:rsidP="00D5465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F77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PTPC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5465B" w:rsidRPr="006F77DB" w:rsidRDefault="00D5465B" w:rsidP="00D546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Richiesta dichiarazioni annuali sull’insussistenza di cause di incompatibilità previste dall’articolo 20, comma 2, del d.lgs. 39/2013.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465B" w:rsidRPr="006F77DB" w:rsidRDefault="00D5465B" w:rsidP="00D5465B">
            <w:pPr>
              <w:ind w:hanging="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465B" w:rsidRPr="006F77DB" w:rsidRDefault="00D5465B" w:rsidP="00D5465B">
            <w:pPr>
              <w:ind w:hanging="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Ciascuna struttura che ha conferito l’incarico</w:t>
            </w:r>
          </w:p>
        </w:tc>
      </w:tr>
      <w:tr w:rsidR="00D5465B" w:rsidRPr="006F77DB" w:rsidTr="006F77DB">
        <w:trPr>
          <w:trHeight w:val="550"/>
        </w:trPr>
        <w:tc>
          <w:tcPr>
            <w:tcW w:w="1701" w:type="dxa"/>
            <w:vMerge/>
          </w:tcPr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465B" w:rsidRPr="006F77DB" w:rsidRDefault="00D5465B" w:rsidP="00D5465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5465B" w:rsidRPr="006F77DB" w:rsidRDefault="00D5465B" w:rsidP="00D5465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Rilascio dichiarazione entro quindici giorni dalla suddetta richiesta.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5465B" w:rsidRPr="006F77DB" w:rsidRDefault="00D5465B" w:rsidP="00D5465B">
            <w:pPr>
              <w:ind w:hanging="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465B" w:rsidRPr="006F77DB" w:rsidRDefault="00D5465B" w:rsidP="00D5465B">
            <w:pPr>
              <w:ind w:hanging="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Ciascun incaricato</w:t>
            </w:r>
          </w:p>
        </w:tc>
      </w:tr>
      <w:tr w:rsidR="00D5465B" w:rsidRPr="006F77DB" w:rsidTr="006F77DB">
        <w:trPr>
          <w:trHeight w:val="711"/>
        </w:trPr>
        <w:tc>
          <w:tcPr>
            <w:tcW w:w="1701" w:type="dxa"/>
            <w:vMerge/>
          </w:tcPr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5465B" w:rsidRPr="006F77DB" w:rsidRDefault="00D5465B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2.5.7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PTPC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5465B" w:rsidRPr="006F77DB" w:rsidRDefault="00D5465B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Richiesta dichiarazioni annuali sull’insussistenza di cause di incompatibilità previste dall’articolo 20, comma 2, del d.lgs. 39/2013.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465B" w:rsidRPr="006F77DB" w:rsidRDefault="000C5DF4" w:rsidP="00D5465B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Segreteria generale</w:t>
            </w:r>
          </w:p>
          <w:p w:rsidR="00D5465B" w:rsidRPr="006F77DB" w:rsidRDefault="00D5465B" w:rsidP="00D5465B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65B" w:rsidRPr="006F77DB" w:rsidTr="006F77DB">
        <w:trPr>
          <w:trHeight w:val="552"/>
        </w:trPr>
        <w:tc>
          <w:tcPr>
            <w:tcW w:w="1701" w:type="dxa"/>
            <w:vMerge/>
          </w:tcPr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465B" w:rsidRPr="006F77DB" w:rsidRDefault="00D5465B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5465B" w:rsidRPr="006F77DB" w:rsidRDefault="00D5465B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Rilascio dichiarazione entro quindici giorni dalla suddetta richiesta.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5465B" w:rsidRPr="006F77DB" w:rsidRDefault="00D5465B" w:rsidP="00D5465B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Ciascun nominato o eletto dal Consiglio regionale</w:t>
            </w:r>
          </w:p>
          <w:p w:rsidR="00D5465B" w:rsidRPr="006F77DB" w:rsidRDefault="00D5465B" w:rsidP="00D5465B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A62" w:rsidRPr="006F77DB" w:rsidTr="006F77DB">
        <w:trPr>
          <w:trHeight w:val="552"/>
        </w:trPr>
        <w:tc>
          <w:tcPr>
            <w:tcW w:w="1701" w:type="dxa"/>
          </w:tcPr>
          <w:p w:rsidR="00C70A62" w:rsidRDefault="00C70A62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0A62" w:rsidRPr="006F77DB" w:rsidRDefault="00C70A62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MARZO</w:t>
            </w:r>
          </w:p>
        </w:tc>
        <w:tc>
          <w:tcPr>
            <w:tcW w:w="1701" w:type="dxa"/>
          </w:tcPr>
          <w:p w:rsidR="00C70A62" w:rsidRDefault="00C70A62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4ED" w:rsidRPr="006F77DB" w:rsidRDefault="00DA24ED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2.5.11 PTPC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70A62" w:rsidRPr="006F77DB" w:rsidRDefault="00DA24ED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Adozione schema di deliberazione di disciplina dei Patti d’integrità, da sottoporre a consultazione pubblica prima dell’approvazione definitiva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4441D" w:rsidRDefault="0014441D" w:rsidP="00D5465B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0A62" w:rsidRPr="006F77DB" w:rsidRDefault="00DA24ED" w:rsidP="00D5465B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Ufficio di Presidenza</w:t>
            </w:r>
          </w:p>
        </w:tc>
      </w:tr>
      <w:tr w:rsidR="00D5465B" w:rsidRPr="006F77DB" w:rsidTr="006F77DB">
        <w:tc>
          <w:tcPr>
            <w:tcW w:w="1701" w:type="dxa"/>
          </w:tcPr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APRILE</w:t>
            </w: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465B" w:rsidRPr="006F77DB" w:rsidRDefault="00D5465B" w:rsidP="00D546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3 PTPC</w:t>
            </w:r>
          </w:p>
        </w:tc>
        <w:tc>
          <w:tcPr>
            <w:tcW w:w="4820" w:type="dxa"/>
          </w:tcPr>
          <w:p w:rsidR="00D5465B" w:rsidRPr="006F77DB" w:rsidRDefault="00D5465B" w:rsidP="001932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Termine ultimo per l’inoltro, da parte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del 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Responsabile per la prevenzione della corruzione e trasparenza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alle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 Direzioni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de</w:t>
            </w:r>
            <w:r w:rsidR="00193276">
              <w:rPr>
                <w:rFonts w:ascii="Times New Roman" w:hAnsi="Times New Roman" w:cs="Times New Roman"/>
                <w:sz w:val="18"/>
                <w:szCs w:val="18"/>
              </w:rPr>
              <w:t>l primo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questionari</w:t>
            </w:r>
            <w:r w:rsidR="0019327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volt</w:t>
            </w:r>
            <w:r w:rsidR="0019327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richiedere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specifiche informazioni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merito all’attività svolta,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che sar</w:t>
            </w:r>
            <w:r w:rsidR="00193276">
              <w:rPr>
                <w:rFonts w:ascii="Times New Roman" w:hAnsi="Times New Roman" w:cs="Times New Roman"/>
                <w:sz w:val="18"/>
                <w:szCs w:val="18"/>
              </w:rPr>
              <w:t>à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inviat</w:t>
            </w:r>
            <w:r w:rsidR="0019327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alla Struttura per la prevenzione della corruzione e per la trasparenza entro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venti giorni dalla ricezione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D5465B" w:rsidRPr="006F77DB" w:rsidRDefault="00D5465B" w:rsidP="00D5465B">
            <w:pPr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Direttori di Servizio</w:t>
            </w:r>
          </w:p>
          <w:p w:rsidR="00D5465B" w:rsidRPr="006F77DB" w:rsidRDefault="00D5465B" w:rsidP="00D5465B">
            <w:pPr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A7306C">
            <w:pPr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Responsabile per la </w:t>
            </w:r>
            <w:r w:rsidR="00A7306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revenzione della corruzione e </w:t>
            </w:r>
            <w:r w:rsidR="00A7306C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rasparenza </w:t>
            </w:r>
          </w:p>
        </w:tc>
      </w:tr>
      <w:tr w:rsidR="00D5465B" w:rsidRPr="006F77DB" w:rsidTr="006C60BD">
        <w:trPr>
          <w:trHeight w:val="1093"/>
        </w:trPr>
        <w:tc>
          <w:tcPr>
            <w:tcW w:w="1701" w:type="dxa"/>
          </w:tcPr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D3D" w:rsidRDefault="00353D3D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LUGLIO </w:t>
            </w: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465B" w:rsidRPr="006F77DB" w:rsidRDefault="00D5465B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141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PT</w:t>
            </w:r>
            <w:r w:rsidR="00141B8A">
              <w:rPr>
                <w:rFonts w:ascii="Times New Roman" w:hAnsi="Times New Roman" w:cs="Times New Roman"/>
                <w:sz w:val="18"/>
                <w:szCs w:val="18"/>
              </w:rPr>
              <w:t>PC</w:t>
            </w:r>
          </w:p>
        </w:tc>
        <w:tc>
          <w:tcPr>
            <w:tcW w:w="4820" w:type="dxa"/>
          </w:tcPr>
          <w:p w:rsidR="00D5465B" w:rsidRPr="006F77DB" w:rsidRDefault="00D5465B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Trasmissione da parte del Responsabile per la prevenzione della corruzione e trasparenza all’OIV degli esiti dell’attività di monitoraggio espletata in materia di trasparenza</w:t>
            </w:r>
          </w:p>
        </w:tc>
        <w:tc>
          <w:tcPr>
            <w:tcW w:w="2694" w:type="dxa"/>
          </w:tcPr>
          <w:p w:rsidR="00D5465B" w:rsidRPr="006F77DB" w:rsidRDefault="00D5465B" w:rsidP="00D5465B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Responsabile per</w:t>
            </w:r>
            <w:r w:rsidR="00162693">
              <w:rPr>
                <w:rFonts w:ascii="Times New Roman" w:hAnsi="Times New Roman" w:cs="Times New Roman"/>
                <w:sz w:val="18"/>
                <w:szCs w:val="18"/>
              </w:rPr>
              <w:t xml:space="preserve"> la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prevenzione della corruzione e trasparenza</w:t>
            </w:r>
          </w:p>
        </w:tc>
      </w:tr>
      <w:tr w:rsidR="00D5465B" w:rsidRPr="006F77DB" w:rsidTr="006C60BD">
        <w:trPr>
          <w:trHeight w:val="1266"/>
        </w:trPr>
        <w:tc>
          <w:tcPr>
            <w:tcW w:w="1701" w:type="dxa"/>
          </w:tcPr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LUGLIO </w:t>
            </w: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465B" w:rsidRPr="006F77DB" w:rsidRDefault="00D5465B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141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PT</w:t>
            </w:r>
            <w:r w:rsidR="00141B8A">
              <w:rPr>
                <w:rFonts w:ascii="Times New Roman" w:hAnsi="Times New Roman" w:cs="Times New Roman"/>
                <w:sz w:val="18"/>
                <w:szCs w:val="18"/>
              </w:rPr>
              <w:t>PC</w:t>
            </w:r>
          </w:p>
        </w:tc>
        <w:tc>
          <w:tcPr>
            <w:tcW w:w="4820" w:type="dxa"/>
          </w:tcPr>
          <w:p w:rsidR="00D5465B" w:rsidRPr="006F77DB" w:rsidRDefault="00D5465B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Invio del primo report </w:t>
            </w:r>
            <w:r w:rsidR="00C70A62">
              <w:rPr>
                <w:rFonts w:ascii="Times New Roman" w:hAnsi="Times New Roman" w:cs="Times New Roman"/>
                <w:sz w:val="18"/>
                <w:szCs w:val="18"/>
              </w:rPr>
              <w:t xml:space="preserve">semestrale 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al Responsabile della prevenzione della corruzione e trasparenza relativo ai tempi medi di conclusione per ciascuna tipologia di procedimenti amministrativi di competenza. In tale report, qualora emergessero scostamenti rispetto alla tempistica prevista, dovranno essere indicati i motivi per i quali ciò sia avvenuto. </w:t>
            </w:r>
          </w:p>
        </w:tc>
        <w:tc>
          <w:tcPr>
            <w:tcW w:w="2694" w:type="dxa"/>
          </w:tcPr>
          <w:p w:rsidR="00D5465B" w:rsidRPr="006F77DB" w:rsidRDefault="00D5465B" w:rsidP="00D5465B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Ciascuna struttura a responsabilità dirigenziale</w:t>
            </w:r>
          </w:p>
        </w:tc>
      </w:tr>
      <w:tr w:rsidR="00D5465B" w:rsidRPr="006F77DB" w:rsidTr="006F77DB">
        <w:trPr>
          <w:trHeight w:val="2175"/>
        </w:trPr>
        <w:tc>
          <w:tcPr>
            <w:tcW w:w="1701" w:type="dxa"/>
          </w:tcPr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30 SETTEMBRE</w:t>
            </w: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465B" w:rsidRPr="006F77DB" w:rsidRDefault="00D5465B" w:rsidP="00D54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15 OTTOBRE</w:t>
            </w:r>
          </w:p>
        </w:tc>
        <w:tc>
          <w:tcPr>
            <w:tcW w:w="1701" w:type="dxa"/>
          </w:tcPr>
          <w:p w:rsidR="00D5465B" w:rsidRPr="006F77DB" w:rsidRDefault="00D5465B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204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  <w:r w:rsidR="002046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lett.a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PTPC</w:t>
            </w:r>
          </w:p>
        </w:tc>
        <w:tc>
          <w:tcPr>
            <w:tcW w:w="4820" w:type="dxa"/>
          </w:tcPr>
          <w:p w:rsidR="00D5465B" w:rsidRPr="006F77DB" w:rsidRDefault="00D5465B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Invio proposte per il programma degli affidamenti al rispettivo Direttore di Servizio con correlata documentazione </w:t>
            </w:r>
            <w:r w:rsidR="00213B98">
              <w:rPr>
                <w:rFonts w:ascii="Times New Roman" w:hAnsi="Times New Roman" w:cs="Times New Roman"/>
                <w:sz w:val="18"/>
                <w:szCs w:val="18"/>
              </w:rPr>
              <w:t xml:space="preserve">il quale, dopo averle vagliate, provvede a trametterle al Direttore del Servizio Tecnico </w:t>
            </w:r>
          </w:p>
          <w:p w:rsidR="00D5465B" w:rsidRPr="006F77DB" w:rsidRDefault="00D5465B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440894" w:rsidP="00D75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Acquisite le valutazioni di competenza da parte del Dirigente competente in materia di bilancio, provvede a redigere le suddette proposte </w:t>
            </w:r>
            <w:r w:rsidR="00D75EF6">
              <w:rPr>
                <w:rFonts w:ascii="Times New Roman" w:hAnsi="Times New Roman" w:cs="Times New Roman"/>
                <w:sz w:val="18"/>
                <w:szCs w:val="18"/>
              </w:rPr>
              <w:t xml:space="preserve">degli atti di programmazione in materia di affidamenti ex art. 21 d.lgs. 50/2016 d </w:t>
            </w:r>
            <w:proofErr w:type="spellStart"/>
            <w:r w:rsidR="00D75EF6">
              <w:rPr>
                <w:rFonts w:ascii="Times New Roman" w:hAnsi="Times New Roman" w:cs="Times New Roman"/>
                <w:sz w:val="18"/>
                <w:szCs w:val="18"/>
              </w:rPr>
              <w:t>d.m.</w:t>
            </w:r>
            <w:proofErr w:type="spellEnd"/>
            <w:r w:rsidR="00D75EF6">
              <w:rPr>
                <w:rFonts w:ascii="Times New Roman" w:hAnsi="Times New Roman" w:cs="Times New Roman"/>
                <w:sz w:val="18"/>
                <w:szCs w:val="18"/>
              </w:rPr>
              <w:t xml:space="preserve"> n.14/</w:t>
            </w:r>
            <w:proofErr w:type="gramStart"/>
            <w:r w:rsidR="00D75EF6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5EF6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proofErr w:type="gramEnd"/>
            <w:r w:rsidR="00D75EF6">
              <w:rPr>
                <w:rFonts w:ascii="Times New Roman" w:hAnsi="Times New Roman" w:cs="Times New Roman"/>
                <w:sz w:val="18"/>
                <w:szCs w:val="18"/>
              </w:rPr>
              <w:t xml:space="preserve"> sottoporre all’Ufficio di 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residenza per l’adozione. </w:t>
            </w:r>
          </w:p>
        </w:tc>
        <w:tc>
          <w:tcPr>
            <w:tcW w:w="2694" w:type="dxa"/>
          </w:tcPr>
          <w:p w:rsidR="00D5465B" w:rsidRPr="006F77DB" w:rsidRDefault="00D5465B" w:rsidP="00D5465B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Ciascuna struttura a responsabilità dirigenziale che preveda di dover effettuare degli affidamenti </w:t>
            </w:r>
          </w:p>
          <w:p w:rsidR="00D5465B" w:rsidRDefault="00D5465B" w:rsidP="00D5465B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D5465B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65B" w:rsidRPr="006F77DB" w:rsidRDefault="00D5465B" w:rsidP="00521FB0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Direttor</w:t>
            </w:r>
            <w:r w:rsidR="0044089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Servizio</w:t>
            </w:r>
            <w:r w:rsidR="00440894">
              <w:rPr>
                <w:rFonts w:ascii="Times New Roman" w:hAnsi="Times New Roman" w:cs="Times New Roman"/>
                <w:sz w:val="18"/>
                <w:szCs w:val="18"/>
              </w:rPr>
              <w:t xml:space="preserve"> Tecnico </w:t>
            </w:r>
          </w:p>
        </w:tc>
      </w:tr>
      <w:tr w:rsidR="00193276" w:rsidRPr="006F77DB" w:rsidTr="00193276">
        <w:trPr>
          <w:trHeight w:val="1559"/>
        </w:trPr>
        <w:tc>
          <w:tcPr>
            <w:tcW w:w="1701" w:type="dxa"/>
          </w:tcPr>
          <w:p w:rsidR="00193276" w:rsidRPr="006F77DB" w:rsidRDefault="00193276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OTTOBRE</w:t>
            </w:r>
          </w:p>
          <w:p w:rsidR="00193276" w:rsidRPr="006F77DB" w:rsidRDefault="00193276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3276" w:rsidRPr="006F77DB" w:rsidRDefault="00193276" w:rsidP="001932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3 PTPC</w:t>
            </w:r>
          </w:p>
        </w:tc>
        <w:tc>
          <w:tcPr>
            <w:tcW w:w="4820" w:type="dxa"/>
          </w:tcPr>
          <w:p w:rsidR="00193276" w:rsidRPr="006F77DB" w:rsidRDefault="00193276" w:rsidP="001932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Termine ultimo per l’inoltro, da parte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del 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Responsabile per la prevenzione della corruzione e trasparenza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alle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 Direzioni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 secondo questionario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volto a richiedere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specifiche informazioni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merito all’attività svolta,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che sar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à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inviat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alla Struttura per la prevenzione della corruzione e per la trasparenza entro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venti giorni dalla ricezione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193276" w:rsidRPr="006F77DB" w:rsidRDefault="00193276" w:rsidP="00193276">
            <w:pPr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Direttori di Servizio</w:t>
            </w:r>
          </w:p>
          <w:p w:rsidR="00193276" w:rsidRPr="006F77DB" w:rsidRDefault="00193276" w:rsidP="00193276">
            <w:pPr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CE0103">
            <w:pPr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Responsabile per la </w:t>
            </w:r>
            <w:r w:rsidR="00CE010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revenzione della corruzione e </w:t>
            </w:r>
            <w:r w:rsidR="00CE010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rasparenza</w:t>
            </w:r>
          </w:p>
        </w:tc>
      </w:tr>
      <w:tr w:rsidR="00193276" w:rsidRPr="006F77DB" w:rsidTr="00C0770C">
        <w:trPr>
          <w:trHeight w:val="2693"/>
        </w:trPr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93276" w:rsidRPr="006F77DB" w:rsidRDefault="00193276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3276" w:rsidRPr="006F77DB" w:rsidRDefault="00193276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30 SETTEMBRE</w:t>
            </w:r>
          </w:p>
          <w:p w:rsidR="00193276" w:rsidRPr="006F77DB" w:rsidRDefault="00193276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15 OTTOBRE</w:t>
            </w:r>
          </w:p>
          <w:p w:rsidR="00193276" w:rsidRPr="006F77DB" w:rsidRDefault="00193276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30 NOVEMBRE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93276" w:rsidRPr="006F77DB" w:rsidRDefault="00193276" w:rsidP="00193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5 PTPC </w:t>
            </w:r>
          </w:p>
          <w:p w:rsidR="00193276" w:rsidRPr="006F77DB" w:rsidRDefault="00193276" w:rsidP="00193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193276" w:rsidRPr="006F77DB" w:rsidRDefault="00193276" w:rsidP="00193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Trasmissione al Segretario generale ovvero al Direttore del Servizio delle proprie proposte e osservazioni al Responsabile per la prevenzione della corruzione e trasparenza per il nuovo PTPC</w:t>
            </w:r>
          </w:p>
          <w:p w:rsidR="00193276" w:rsidRPr="006F77DB" w:rsidRDefault="00193276" w:rsidP="00193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Trasmissione delle proposte/osservazioni al Responsabile per la prevenzione della corruzione e trasparenza</w:t>
            </w:r>
          </w:p>
          <w:p w:rsidR="00193276" w:rsidRPr="006F77DB" w:rsidRDefault="00193276" w:rsidP="001932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Default="00193276" w:rsidP="001932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Trasmissione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 Segretario generale 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dell’aggiornamento del Piano triennale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 prevenzione della corruzione</w:t>
            </w: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193276" w:rsidRPr="006F77DB" w:rsidRDefault="00193276" w:rsidP="00193276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Tutti i Dirigenti </w:t>
            </w:r>
          </w:p>
          <w:p w:rsidR="00193276" w:rsidRPr="006F77DB" w:rsidRDefault="00193276" w:rsidP="00193276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 xml:space="preserve">Tutti i Direttori di Servizio </w:t>
            </w:r>
          </w:p>
          <w:p w:rsidR="00193276" w:rsidRPr="006F77DB" w:rsidRDefault="00193276" w:rsidP="00193276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Default="00193276" w:rsidP="00193276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Responsabile per la prevenzione della corruzione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trasparenza</w:t>
            </w:r>
          </w:p>
          <w:p w:rsidR="00193276" w:rsidRPr="006F77DB" w:rsidRDefault="00193276" w:rsidP="00193276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76" w:rsidRPr="006F77DB" w:rsidTr="00C0770C">
        <w:trPr>
          <w:trHeight w:val="1634"/>
        </w:trPr>
        <w:tc>
          <w:tcPr>
            <w:tcW w:w="1701" w:type="dxa"/>
            <w:tcBorders>
              <w:bottom w:val="nil"/>
            </w:tcBorders>
          </w:tcPr>
          <w:p w:rsidR="00193276" w:rsidRPr="006F77DB" w:rsidRDefault="00193276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15 NOVEMBRE</w:t>
            </w:r>
          </w:p>
        </w:tc>
        <w:tc>
          <w:tcPr>
            <w:tcW w:w="1701" w:type="dxa"/>
            <w:tcBorders>
              <w:bottom w:val="nil"/>
            </w:tcBorders>
          </w:tcPr>
          <w:p w:rsidR="00193276" w:rsidRPr="006F77DB" w:rsidRDefault="00193276" w:rsidP="00193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76" w:rsidRPr="006F77DB" w:rsidRDefault="00193276" w:rsidP="00193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2.3.6 PTPC</w:t>
            </w:r>
          </w:p>
        </w:tc>
        <w:tc>
          <w:tcPr>
            <w:tcW w:w="4820" w:type="dxa"/>
            <w:tcBorders>
              <w:bottom w:val="nil"/>
            </w:tcBorders>
          </w:tcPr>
          <w:p w:rsidR="00193276" w:rsidRPr="006F77DB" w:rsidRDefault="00193276" w:rsidP="0019327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eastAsia="Times New Roman" w:hAnsi="Times New Roman" w:cs="Times New Roman"/>
                <w:sz w:val="18"/>
                <w:szCs w:val="18"/>
              </w:rPr>
              <w:t>Trasmissione al Responsabile per la prevenzione della corruzione e trasparenza, dei dati aggregati relativi alle infrazioni registrate, ai fini del monitoraggio annuale sull’attuazione del Codice</w:t>
            </w:r>
            <w:r w:rsidR="00C540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 comportamento</w:t>
            </w:r>
            <w:r w:rsidRPr="006F77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nonché il numero delle sentenze penali e della Corte dei Conti emesse nei confronti dei dipendenti del Consiglio regionale, con l’ammontare delle eventuali condanne per fatti corruttivi. </w:t>
            </w:r>
          </w:p>
          <w:p w:rsidR="00193276" w:rsidRPr="006F77DB" w:rsidRDefault="00193276" w:rsidP="00193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93276" w:rsidRPr="006F77DB" w:rsidRDefault="00193276" w:rsidP="00193276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7DB">
              <w:rPr>
                <w:rFonts w:ascii="Times New Roman" w:hAnsi="Times New Roman" w:cs="Times New Roman"/>
                <w:sz w:val="18"/>
                <w:szCs w:val="18"/>
              </w:rPr>
              <w:t>Ufficio Provvedimenti Disciplinari</w:t>
            </w:r>
          </w:p>
        </w:tc>
      </w:tr>
      <w:tr w:rsidR="00DF53B7" w:rsidRPr="006F77DB" w:rsidTr="00C0770C">
        <w:trPr>
          <w:trHeight w:val="1634"/>
        </w:trPr>
        <w:tc>
          <w:tcPr>
            <w:tcW w:w="1701" w:type="dxa"/>
            <w:tcBorders>
              <w:top w:val="nil"/>
            </w:tcBorders>
          </w:tcPr>
          <w:p w:rsidR="00DF53B7" w:rsidRDefault="00DF53B7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3B7" w:rsidRDefault="00DF53B7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3B7" w:rsidRPr="006F77DB" w:rsidRDefault="005E204D" w:rsidP="0019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DIC</w:t>
            </w:r>
            <w:r w:rsidR="00DF53B7">
              <w:rPr>
                <w:rFonts w:ascii="Times New Roman" w:hAnsi="Times New Roman" w:cs="Times New Roman"/>
                <w:sz w:val="18"/>
                <w:szCs w:val="18"/>
              </w:rPr>
              <w:t>EMBRE</w:t>
            </w:r>
          </w:p>
        </w:tc>
        <w:tc>
          <w:tcPr>
            <w:tcW w:w="1701" w:type="dxa"/>
            <w:tcBorders>
              <w:top w:val="nil"/>
            </w:tcBorders>
          </w:tcPr>
          <w:p w:rsidR="00DF53B7" w:rsidRDefault="00DF53B7" w:rsidP="00193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3B7" w:rsidRDefault="00DF53B7" w:rsidP="00193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3B7" w:rsidRPr="006F77DB" w:rsidRDefault="00DF53B7" w:rsidP="00193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2.5.1 PTPC</w:t>
            </w:r>
          </w:p>
        </w:tc>
        <w:tc>
          <w:tcPr>
            <w:tcW w:w="4820" w:type="dxa"/>
            <w:tcBorders>
              <w:top w:val="nil"/>
            </w:tcBorders>
          </w:tcPr>
          <w:p w:rsidR="00F7300D" w:rsidRDefault="00F7300D" w:rsidP="00F7300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300D" w:rsidRDefault="00F7300D" w:rsidP="00F7300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53B7" w:rsidRPr="006F77DB" w:rsidRDefault="00C0770C" w:rsidP="00F7300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Redazione</w:t>
            </w:r>
            <w:r w:rsidR="00F73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trasmissione all’ANAC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di una relazione che attesti eventuali criticità nell’attuazione del Codice medesimo</w:t>
            </w:r>
            <w:r w:rsidR="00F7300D">
              <w:rPr>
                <w:rFonts w:ascii="Times New Roman" w:eastAsia="Times New Roman" w:hAnsi="Times New Roman" w:cs="Times New Roman"/>
                <w:sz w:val="18"/>
                <w:szCs w:val="18"/>
              </w:rPr>
              <w:t>, sulla base dei dati acquisiti sopra riportati.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</w:tcBorders>
          </w:tcPr>
          <w:p w:rsidR="00DF53B7" w:rsidRDefault="00DF53B7" w:rsidP="00193276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00D" w:rsidRDefault="00F7300D" w:rsidP="00193276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00D" w:rsidRPr="006F77DB" w:rsidRDefault="00F7300D" w:rsidP="00193276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Responsabile per la prevenzione della corruzione </w:t>
            </w:r>
            <w:r w:rsidR="00B63099">
              <w:rPr>
                <w:rFonts w:ascii="Times New Roman" w:hAnsi="Times New Roman" w:cs="Times New Roman"/>
                <w:sz w:val="18"/>
                <w:szCs w:val="18"/>
              </w:rPr>
              <w:t>e trasparenza</w:t>
            </w:r>
          </w:p>
        </w:tc>
      </w:tr>
    </w:tbl>
    <w:p w:rsidR="00276E13" w:rsidRPr="006F77DB" w:rsidRDefault="00276E13">
      <w:pPr>
        <w:rPr>
          <w:sz w:val="18"/>
          <w:szCs w:val="18"/>
        </w:rPr>
      </w:pPr>
    </w:p>
    <w:sectPr w:rsidR="00276E13" w:rsidRPr="006F77DB" w:rsidSect="00C06F37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13"/>
    <w:rsid w:val="000239A6"/>
    <w:rsid w:val="000264A0"/>
    <w:rsid w:val="000C5DF4"/>
    <w:rsid w:val="000D6A2D"/>
    <w:rsid w:val="000F1FC1"/>
    <w:rsid w:val="000F273A"/>
    <w:rsid w:val="00132D94"/>
    <w:rsid w:val="00141B8A"/>
    <w:rsid w:val="0014441D"/>
    <w:rsid w:val="00162693"/>
    <w:rsid w:val="00193276"/>
    <w:rsid w:val="0020462D"/>
    <w:rsid w:val="00213B98"/>
    <w:rsid w:val="002347C2"/>
    <w:rsid w:val="00250AF6"/>
    <w:rsid w:val="00276E13"/>
    <w:rsid w:val="002A4A9B"/>
    <w:rsid w:val="00353D3D"/>
    <w:rsid w:val="00354E31"/>
    <w:rsid w:val="00440894"/>
    <w:rsid w:val="00455507"/>
    <w:rsid w:val="004B152C"/>
    <w:rsid w:val="004B5F08"/>
    <w:rsid w:val="004C210B"/>
    <w:rsid w:val="00516D26"/>
    <w:rsid w:val="00521FB0"/>
    <w:rsid w:val="005E204D"/>
    <w:rsid w:val="006635D9"/>
    <w:rsid w:val="00667C2A"/>
    <w:rsid w:val="006C60BD"/>
    <w:rsid w:val="006F77DB"/>
    <w:rsid w:val="007B4415"/>
    <w:rsid w:val="00834B2A"/>
    <w:rsid w:val="00863CEB"/>
    <w:rsid w:val="008735C0"/>
    <w:rsid w:val="008A572A"/>
    <w:rsid w:val="0090782B"/>
    <w:rsid w:val="0095009F"/>
    <w:rsid w:val="00972A1C"/>
    <w:rsid w:val="00983C16"/>
    <w:rsid w:val="009E3271"/>
    <w:rsid w:val="00A7306C"/>
    <w:rsid w:val="00A82C57"/>
    <w:rsid w:val="00AE5D42"/>
    <w:rsid w:val="00B30AA3"/>
    <w:rsid w:val="00B53377"/>
    <w:rsid w:val="00B63099"/>
    <w:rsid w:val="00BC795A"/>
    <w:rsid w:val="00BE4ACD"/>
    <w:rsid w:val="00C06F37"/>
    <w:rsid w:val="00C0770C"/>
    <w:rsid w:val="00C104E7"/>
    <w:rsid w:val="00C540B1"/>
    <w:rsid w:val="00C70A62"/>
    <w:rsid w:val="00CE0103"/>
    <w:rsid w:val="00D17636"/>
    <w:rsid w:val="00D3424C"/>
    <w:rsid w:val="00D42DF0"/>
    <w:rsid w:val="00D44E3C"/>
    <w:rsid w:val="00D4591C"/>
    <w:rsid w:val="00D5465B"/>
    <w:rsid w:val="00D75EF6"/>
    <w:rsid w:val="00DA24ED"/>
    <w:rsid w:val="00DF53B7"/>
    <w:rsid w:val="00E01751"/>
    <w:rsid w:val="00E15EDF"/>
    <w:rsid w:val="00E328F2"/>
    <w:rsid w:val="00E37ADB"/>
    <w:rsid w:val="00E85DC7"/>
    <w:rsid w:val="00EC740B"/>
    <w:rsid w:val="00EC7BC5"/>
    <w:rsid w:val="00F0152E"/>
    <w:rsid w:val="00F67FC7"/>
    <w:rsid w:val="00F7300D"/>
    <w:rsid w:val="00FA6931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F85C"/>
  <w15:docId w15:val="{3ADCD27A-0742-4B60-8BE3-D85BA9FB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6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plittera</dc:creator>
  <cp:lastModifiedBy>Paola Littera</cp:lastModifiedBy>
  <cp:revision>4</cp:revision>
  <cp:lastPrinted>2016-12-13T14:13:00Z</cp:lastPrinted>
  <dcterms:created xsi:type="dcterms:W3CDTF">2018-12-18T15:58:00Z</dcterms:created>
  <dcterms:modified xsi:type="dcterms:W3CDTF">2018-12-18T16:32:00Z</dcterms:modified>
</cp:coreProperties>
</file>