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31" w:rsidRPr="006128BF" w:rsidRDefault="00C86CB5" w:rsidP="0034468D">
      <w:pPr>
        <w:spacing w:after="120" w:line="240" w:lineRule="auto"/>
        <w:jc w:val="center"/>
        <w:rPr>
          <w:rFonts w:ascii="Times New Roman" w:hAnsi="Times New Roman" w:cs="Times New Roman"/>
          <w:sz w:val="28"/>
          <w:szCs w:val="28"/>
        </w:rPr>
      </w:pPr>
      <w:r w:rsidRPr="006128BF">
        <w:rPr>
          <w:rFonts w:ascii="Times New Roman" w:hAnsi="Times New Roman" w:cs="Times New Roman"/>
          <w:sz w:val="28"/>
          <w:szCs w:val="28"/>
        </w:rPr>
        <w:t>Proposta di legge concernente</w:t>
      </w:r>
    </w:p>
    <w:p w:rsidR="00A01A31" w:rsidRPr="006128BF" w:rsidRDefault="00C86CB5" w:rsidP="0034468D">
      <w:pPr>
        <w:spacing w:after="120" w:line="240" w:lineRule="auto"/>
        <w:jc w:val="center"/>
        <w:rPr>
          <w:rFonts w:ascii="Times New Roman" w:hAnsi="Times New Roman" w:cs="Times New Roman"/>
          <w:sz w:val="28"/>
          <w:szCs w:val="28"/>
        </w:rPr>
      </w:pPr>
      <w:r w:rsidRPr="006128BF">
        <w:rPr>
          <w:rFonts w:ascii="Times New Roman" w:hAnsi="Times New Roman" w:cs="Times New Roman"/>
          <w:sz w:val="28"/>
          <w:szCs w:val="28"/>
        </w:rPr>
        <w:t>“</w:t>
      </w:r>
      <w:r w:rsidR="00A01A31" w:rsidRPr="006128BF">
        <w:rPr>
          <w:rFonts w:ascii="Times New Roman" w:hAnsi="Times New Roman" w:cs="Times New Roman"/>
          <w:sz w:val="28"/>
          <w:szCs w:val="28"/>
        </w:rPr>
        <w:t>MISURE PER LO SVILUPPO ECONOMICO, L’ATTRATTIVITÀ DEGLI IN</w:t>
      </w:r>
      <w:r w:rsidRPr="006128BF">
        <w:rPr>
          <w:rFonts w:ascii="Times New Roman" w:hAnsi="Times New Roman" w:cs="Times New Roman"/>
          <w:sz w:val="28"/>
          <w:szCs w:val="28"/>
        </w:rPr>
        <w:t>VESTIMENTI E LA SEMPLIFICAZIONE”</w:t>
      </w:r>
    </w:p>
    <w:p w:rsidR="009F7886" w:rsidRPr="006128BF" w:rsidRDefault="009F7886" w:rsidP="0034468D">
      <w:pPr>
        <w:spacing w:after="120" w:line="240" w:lineRule="auto"/>
        <w:jc w:val="center"/>
        <w:rPr>
          <w:rFonts w:ascii="Times New Roman" w:hAnsi="Times New Roman" w:cs="Times New Roman"/>
          <w:sz w:val="28"/>
          <w:szCs w:val="28"/>
        </w:rPr>
      </w:pPr>
    </w:p>
    <w:p w:rsidR="009F7886" w:rsidRPr="006128BF" w:rsidRDefault="009F7886" w:rsidP="0034468D">
      <w:pPr>
        <w:spacing w:after="120" w:line="240" w:lineRule="auto"/>
        <w:jc w:val="center"/>
        <w:rPr>
          <w:rFonts w:ascii="Times New Roman" w:hAnsi="Times New Roman" w:cs="Times New Roman"/>
          <w:sz w:val="28"/>
          <w:szCs w:val="28"/>
        </w:rPr>
      </w:pPr>
    </w:p>
    <w:p w:rsidR="009F7886" w:rsidRPr="006128BF" w:rsidRDefault="009F7886" w:rsidP="0034468D">
      <w:pPr>
        <w:spacing w:after="120" w:line="360" w:lineRule="auto"/>
        <w:jc w:val="center"/>
        <w:outlineLvl w:val="0"/>
        <w:rPr>
          <w:rFonts w:ascii="Times New Roman" w:eastAsia="Times New Roman" w:hAnsi="Times New Roman" w:cs="Times New Roman"/>
          <w:bCs/>
          <w:kern w:val="36"/>
          <w:sz w:val="28"/>
          <w:szCs w:val="28"/>
          <w:lang w:eastAsia="it-IT"/>
        </w:rPr>
      </w:pPr>
      <w:r w:rsidRPr="006128BF">
        <w:rPr>
          <w:rFonts w:ascii="Times New Roman" w:eastAsia="Times New Roman" w:hAnsi="Times New Roman" w:cs="Times New Roman"/>
          <w:bCs/>
          <w:kern w:val="36"/>
          <w:sz w:val="28"/>
          <w:szCs w:val="28"/>
          <w:lang w:eastAsia="it-IT"/>
        </w:rPr>
        <w:t xml:space="preserve">RELAZIONE </w:t>
      </w:r>
      <w:r w:rsidR="008D1390" w:rsidRPr="006128BF">
        <w:rPr>
          <w:rFonts w:ascii="Times New Roman" w:eastAsia="Times New Roman" w:hAnsi="Times New Roman" w:cs="Times New Roman"/>
          <w:bCs/>
          <w:kern w:val="36"/>
          <w:sz w:val="28"/>
          <w:szCs w:val="28"/>
          <w:lang w:eastAsia="it-IT"/>
        </w:rPr>
        <w:t xml:space="preserve">PER </w:t>
      </w:r>
      <w:r w:rsidR="00550856" w:rsidRPr="006128BF">
        <w:rPr>
          <w:rFonts w:ascii="Times New Roman" w:eastAsia="Times New Roman" w:hAnsi="Times New Roman" w:cs="Times New Roman"/>
          <w:bCs/>
          <w:kern w:val="36"/>
          <w:sz w:val="28"/>
          <w:szCs w:val="28"/>
          <w:lang w:eastAsia="it-IT"/>
        </w:rPr>
        <w:t>L’AULA</w:t>
      </w:r>
    </w:p>
    <w:p w:rsidR="006128BF" w:rsidRPr="006128BF" w:rsidRDefault="006128BF" w:rsidP="006128BF">
      <w:pPr>
        <w:spacing w:after="0" w:line="360" w:lineRule="auto"/>
        <w:jc w:val="both"/>
        <w:rPr>
          <w:rFonts w:ascii="Times New Roman" w:eastAsia="Times New Roman" w:hAnsi="Times New Roman" w:cs="Times New Roman"/>
          <w:sz w:val="28"/>
          <w:szCs w:val="28"/>
          <w:lang w:eastAsia="it-IT"/>
        </w:rPr>
      </w:pPr>
      <w:r w:rsidRPr="006128BF">
        <w:rPr>
          <w:rFonts w:ascii="Times New Roman" w:eastAsia="Times New Roman" w:hAnsi="Times New Roman" w:cs="Times New Roman"/>
          <w:sz w:val="28"/>
          <w:szCs w:val="28"/>
          <w:lang w:eastAsia="it-IT"/>
        </w:rPr>
        <w:t>Gentile Presidente, gentili Consiglieri,</w:t>
      </w:r>
    </w:p>
    <w:p w:rsidR="006128BF" w:rsidRPr="006128BF" w:rsidRDefault="006128BF" w:rsidP="006128BF">
      <w:pPr>
        <w:spacing w:after="0" w:line="360" w:lineRule="auto"/>
        <w:ind w:firstLine="708"/>
        <w:jc w:val="both"/>
        <w:rPr>
          <w:rFonts w:ascii="Times New Roman" w:eastAsia="Times New Roman" w:hAnsi="Times New Roman" w:cs="Times New Roman"/>
          <w:sz w:val="28"/>
          <w:szCs w:val="28"/>
          <w:lang w:eastAsia="it-IT"/>
        </w:rPr>
      </w:pPr>
      <w:r w:rsidRPr="006128BF">
        <w:rPr>
          <w:rFonts w:ascii="Times New Roman" w:eastAsia="Times New Roman" w:hAnsi="Times New Roman" w:cs="Times New Roman"/>
          <w:sz w:val="28"/>
          <w:szCs w:val="28"/>
          <w:lang w:eastAsia="it-IT"/>
        </w:rPr>
        <w:t>sottoponiamo all’esame del Consiglio regionale la proposta di legge regionale n. 194 del 31 ottobre 2019 recante “Misure per lo sviluppo economico, l’attrattività degli investimenti e la semplificazione”.</w:t>
      </w:r>
    </w:p>
    <w:p w:rsidR="006128BF" w:rsidRPr="006128BF" w:rsidRDefault="006128BF" w:rsidP="006128BF">
      <w:pPr>
        <w:spacing w:after="0" w:line="360" w:lineRule="auto"/>
        <w:ind w:firstLine="708"/>
        <w:jc w:val="both"/>
        <w:rPr>
          <w:rFonts w:ascii="Times New Roman" w:eastAsia="Times New Roman" w:hAnsi="Times New Roman" w:cs="Times New Roman"/>
          <w:sz w:val="28"/>
          <w:szCs w:val="28"/>
          <w:lang w:eastAsia="it-IT"/>
        </w:rPr>
      </w:pPr>
      <w:r w:rsidRPr="006128BF">
        <w:rPr>
          <w:rFonts w:ascii="Times New Roman" w:eastAsia="Times New Roman" w:hAnsi="Times New Roman" w:cs="Times New Roman"/>
          <w:sz w:val="28"/>
          <w:szCs w:val="28"/>
          <w:lang w:eastAsia="it-IT"/>
        </w:rPr>
        <w:t>Prima di delineare in sintesi il contenuto del documento, vorrei ringraziare i Consiglieri di Maggioranza e di Opposizione e, in particolare, il Presidente della IV Commissione – Bilancio, programmazione economico-finanziaria, partecipazioni regionali, federalismo fiscale, demanio e patrimonio, e i suoi componenti per l’apporto alla discussione del provvedimento in Commissione anche con la presenza in audizione di taluni Assessori di settore che ha potuto permettere un’analisi maggiormente approfondita di tematiche settoriali afferenti i rispettivi Assessorati.</w:t>
      </w:r>
    </w:p>
    <w:p w:rsidR="009F7886" w:rsidRPr="006128BF" w:rsidRDefault="006128BF" w:rsidP="006128BF">
      <w:pPr>
        <w:spacing w:after="120" w:line="360" w:lineRule="auto"/>
        <w:jc w:val="both"/>
        <w:outlineLvl w:val="0"/>
        <w:rPr>
          <w:rFonts w:ascii="Times New Roman" w:eastAsia="Times New Roman" w:hAnsi="Times New Roman" w:cs="Times New Roman"/>
          <w:bCs/>
          <w:kern w:val="36"/>
          <w:sz w:val="28"/>
          <w:szCs w:val="28"/>
          <w:lang w:eastAsia="it-IT"/>
        </w:rPr>
      </w:pPr>
      <w:r w:rsidRPr="006128BF">
        <w:rPr>
          <w:rFonts w:ascii="Times New Roman" w:eastAsia="Times New Roman" w:hAnsi="Times New Roman" w:cs="Times New Roman"/>
          <w:sz w:val="28"/>
          <w:szCs w:val="28"/>
          <w:lang w:eastAsia="it-IT"/>
        </w:rPr>
        <w:t xml:space="preserve">Nel corso dei lavori in Commissione bilancio, sono stati approvati </w:t>
      </w:r>
      <w:r w:rsidR="00D30759">
        <w:rPr>
          <w:rFonts w:ascii="Times New Roman" w:eastAsia="Times New Roman" w:hAnsi="Times New Roman" w:cs="Times New Roman"/>
          <w:sz w:val="28"/>
          <w:szCs w:val="28"/>
          <w:lang w:eastAsia="it-IT"/>
        </w:rPr>
        <w:t>8</w:t>
      </w:r>
      <w:r w:rsidR="006E1156">
        <w:rPr>
          <w:rFonts w:ascii="Times New Roman" w:eastAsia="Times New Roman" w:hAnsi="Times New Roman" w:cs="Times New Roman"/>
          <w:sz w:val="28"/>
          <w:szCs w:val="28"/>
          <w:lang w:eastAsia="it-IT"/>
        </w:rPr>
        <w:t>7</w:t>
      </w:r>
      <w:r w:rsidRPr="006128BF">
        <w:rPr>
          <w:rFonts w:ascii="Times New Roman" w:eastAsia="Times New Roman" w:hAnsi="Times New Roman" w:cs="Times New Roman"/>
          <w:sz w:val="28"/>
          <w:szCs w:val="28"/>
          <w:lang w:eastAsia="it-IT"/>
        </w:rPr>
        <w:t xml:space="preserve"> emendamenti: </w:t>
      </w:r>
      <w:r w:rsidR="00D30759">
        <w:rPr>
          <w:rFonts w:ascii="Times New Roman" w:eastAsia="Times New Roman" w:hAnsi="Times New Roman" w:cs="Times New Roman"/>
          <w:sz w:val="28"/>
          <w:szCs w:val="28"/>
          <w:lang w:eastAsia="it-IT"/>
        </w:rPr>
        <w:t xml:space="preserve">43 </w:t>
      </w:r>
      <w:r w:rsidRPr="006128BF">
        <w:rPr>
          <w:rFonts w:ascii="Times New Roman" w:eastAsia="Times New Roman" w:hAnsi="Times New Roman" w:cs="Times New Roman"/>
          <w:sz w:val="28"/>
          <w:szCs w:val="28"/>
          <w:lang w:eastAsia="it-IT"/>
        </w:rPr>
        <w:t xml:space="preserve">presentati dai Consiglieri di Opposizione, </w:t>
      </w:r>
      <w:r w:rsidR="006E1156">
        <w:rPr>
          <w:rFonts w:ascii="Times New Roman" w:eastAsia="Times New Roman" w:hAnsi="Times New Roman" w:cs="Times New Roman"/>
          <w:sz w:val="28"/>
          <w:szCs w:val="28"/>
          <w:lang w:eastAsia="it-IT"/>
        </w:rPr>
        <w:t>5</w:t>
      </w:r>
      <w:r w:rsidRPr="006128BF">
        <w:rPr>
          <w:rFonts w:ascii="Times New Roman" w:eastAsia="Times New Roman" w:hAnsi="Times New Roman" w:cs="Times New Roman"/>
          <w:sz w:val="28"/>
          <w:szCs w:val="28"/>
          <w:lang w:eastAsia="it-IT"/>
        </w:rPr>
        <w:t xml:space="preserve"> di Rappresentanti della Maggioranza e</w:t>
      </w:r>
      <w:r w:rsidR="00ED1FBE">
        <w:rPr>
          <w:rFonts w:ascii="Times New Roman" w:eastAsia="Times New Roman" w:hAnsi="Times New Roman" w:cs="Times New Roman"/>
          <w:sz w:val="28"/>
          <w:szCs w:val="28"/>
          <w:lang w:eastAsia="it-IT"/>
        </w:rPr>
        <w:t xml:space="preserve"> </w:t>
      </w:r>
      <w:r w:rsidR="00D30759">
        <w:rPr>
          <w:rFonts w:ascii="Times New Roman" w:eastAsia="Times New Roman" w:hAnsi="Times New Roman" w:cs="Times New Roman"/>
          <w:sz w:val="28"/>
          <w:szCs w:val="28"/>
          <w:lang w:eastAsia="it-IT"/>
        </w:rPr>
        <w:t>39</w:t>
      </w:r>
      <w:r w:rsidRPr="006128BF">
        <w:rPr>
          <w:rFonts w:ascii="Times New Roman" w:eastAsia="Times New Roman" w:hAnsi="Times New Roman" w:cs="Times New Roman"/>
          <w:sz w:val="28"/>
          <w:szCs w:val="28"/>
          <w:lang w:eastAsia="it-IT"/>
        </w:rPr>
        <w:t xml:space="preserve"> della Giunta</w:t>
      </w:r>
      <w:r w:rsidR="00D30759">
        <w:rPr>
          <w:rFonts w:ascii="Times New Roman" w:eastAsia="Times New Roman" w:hAnsi="Times New Roman" w:cs="Times New Roman"/>
          <w:sz w:val="28"/>
          <w:szCs w:val="28"/>
          <w:lang w:eastAsia="it-IT"/>
        </w:rPr>
        <w:t xml:space="preserve"> </w:t>
      </w:r>
      <w:r w:rsidR="00D30759" w:rsidRPr="00BD06B8">
        <w:rPr>
          <w:rFonts w:ascii="Times New Roman" w:eastAsia="Times New Roman" w:hAnsi="Times New Roman" w:cs="Times New Roman"/>
          <w:sz w:val="28"/>
          <w:szCs w:val="28"/>
          <w:lang w:eastAsia="it-IT"/>
        </w:rPr>
        <w:t>(</w:t>
      </w:r>
      <w:r w:rsidR="00BD06B8" w:rsidRPr="00BD06B8">
        <w:rPr>
          <w:rFonts w:ascii="Times New Roman" w:eastAsia="Times New Roman" w:hAnsi="Times New Roman" w:cs="Times New Roman"/>
          <w:sz w:val="28"/>
          <w:szCs w:val="28"/>
          <w:lang w:eastAsia="it-IT"/>
        </w:rPr>
        <w:t xml:space="preserve">questi ultimi </w:t>
      </w:r>
      <w:r w:rsidR="00D30759" w:rsidRPr="00BD06B8">
        <w:rPr>
          <w:rFonts w:ascii="Times New Roman" w:eastAsia="Times New Roman" w:hAnsi="Times New Roman" w:cs="Times New Roman"/>
          <w:sz w:val="28"/>
          <w:szCs w:val="28"/>
          <w:lang w:eastAsia="it-IT"/>
        </w:rPr>
        <w:t>in buona parte soppressivi di articoli</w:t>
      </w:r>
      <w:r w:rsidR="00C95E94" w:rsidRPr="00BD06B8">
        <w:rPr>
          <w:rFonts w:ascii="Times New Roman" w:eastAsia="Times New Roman" w:hAnsi="Times New Roman" w:cs="Times New Roman"/>
          <w:sz w:val="28"/>
          <w:szCs w:val="28"/>
          <w:lang w:eastAsia="it-IT"/>
        </w:rPr>
        <w:t>, aggiornamento delle coperture finanziarie</w:t>
      </w:r>
      <w:r w:rsidR="00D30759" w:rsidRPr="00BD06B8">
        <w:rPr>
          <w:rFonts w:ascii="Times New Roman" w:eastAsia="Times New Roman" w:hAnsi="Times New Roman" w:cs="Times New Roman"/>
          <w:sz w:val="28"/>
          <w:szCs w:val="28"/>
          <w:lang w:eastAsia="it-IT"/>
        </w:rPr>
        <w:t xml:space="preserve"> e in accoglimento di segnalazioni dell’ATN)</w:t>
      </w:r>
      <w:r w:rsidRPr="00BD06B8">
        <w:rPr>
          <w:rFonts w:ascii="Times New Roman" w:eastAsia="Times New Roman" w:hAnsi="Times New Roman" w:cs="Times New Roman"/>
          <w:sz w:val="28"/>
          <w:szCs w:val="28"/>
          <w:lang w:eastAsia="it-IT"/>
        </w:rPr>
        <w:t>.</w:t>
      </w:r>
    </w:p>
    <w:p w:rsidR="00C86CB5" w:rsidRDefault="00E776E5" w:rsidP="00E776E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 xml:space="preserve">Il </w:t>
      </w:r>
      <w:r w:rsidR="00BD06B8">
        <w:rPr>
          <w:rFonts w:ascii="Times New Roman" w:eastAsia="Times New Roman" w:hAnsi="Times New Roman" w:cs="Times New Roman"/>
          <w:bCs/>
          <w:kern w:val="36"/>
          <w:sz w:val="28"/>
          <w:szCs w:val="28"/>
          <w:lang w:eastAsia="it-IT"/>
        </w:rPr>
        <w:t xml:space="preserve">presente </w:t>
      </w:r>
      <w:r w:rsidRPr="0034468D">
        <w:rPr>
          <w:rFonts w:ascii="Times New Roman" w:eastAsia="Times New Roman" w:hAnsi="Times New Roman" w:cs="Times New Roman"/>
          <w:bCs/>
          <w:kern w:val="36"/>
          <w:sz w:val="28"/>
          <w:szCs w:val="28"/>
          <w:lang w:eastAsia="it-IT"/>
        </w:rPr>
        <w:t xml:space="preserve">disegno di legge è un progetto normativo finalizzato a potenziare le capacità di crescita economica del territorio regionale e alla riduzione degli oneri amministrativi incombenti su cittadini famiglie e imprese. </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lastRenderedPageBreak/>
        <w:t xml:space="preserve">Il progetto non contiene solamente una pluralità di norme di semplificazione concernenti le attività economiche sociali e culturali, ma soprattutto un sistema coordinato di dispositivi di semplificazione e incentivazione agli investimenti nel territorio laziale. Il corpus principale della proposta di legge, infatti, definisce una piattaforma avanzata di dialogo e accompagnamento amministrativo per progetti di investimento in attività produttive. </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 xml:space="preserve">È infatti noto tanto in letteratura, quanto nell’esperienza empirica, come la scelta di collocazione degli investimenti tra territori in marcata competizione (come sono le regioni italiane ed europee) sia fortemente orientata dal grado di certezza che i sistemi istituzionali territoriali sono in grado di fornire agli operatori economici. </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La nuova disciplina è concepita assumendo il punto di osservazione del potenziale investitore, in modo da definire un dispositivo in grado di “affiancarlo” lungo l’intero ciclo della progettazione e realizzazione dello stesso. In primo luogo viene potenziata la funzione di candidatura dei territori all’accoglimento di insediamenti produttivi attraverso il rafforzamento delle funzioni del Consorzio industriale unico allo scopo di promuovere progetti strategici di innovazione, recupero e riqualificazione delle aree industriali dismesse, ricercando investitori nazionali ed esteri, e promuovendo le opportunità di investimento nell’economia del territorio.</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Il potenziamento di tali funzioni promozionali e di attrattività</w:t>
      </w:r>
      <w:r w:rsidR="00BD06B8">
        <w:rPr>
          <w:rFonts w:ascii="Times New Roman" w:eastAsia="Times New Roman" w:hAnsi="Times New Roman" w:cs="Times New Roman"/>
          <w:bCs/>
          <w:kern w:val="36"/>
          <w:sz w:val="28"/>
          <w:szCs w:val="28"/>
          <w:lang w:eastAsia="it-IT"/>
        </w:rPr>
        <w:t>, in linea con le disposizioni normative in materia già introdotte nella legislazione con la legge di stabilità,</w:t>
      </w:r>
      <w:r w:rsidRPr="0034468D">
        <w:rPr>
          <w:rFonts w:ascii="Times New Roman" w:eastAsia="Times New Roman" w:hAnsi="Times New Roman" w:cs="Times New Roman"/>
          <w:bCs/>
          <w:kern w:val="36"/>
          <w:sz w:val="28"/>
          <w:szCs w:val="28"/>
          <w:lang w:eastAsia="it-IT"/>
        </w:rPr>
        <w:t xml:space="preserve"> apre quindi la strada ad una modalità più avanzata di gestione istituzionale dei progetti di investimento presentati: questi saranno oggetto di un “</w:t>
      </w:r>
      <w:r w:rsidRPr="0034468D">
        <w:rPr>
          <w:rFonts w:ascii="Times New Roman" w:eastAsia="Times New Roman" w:hAnsi="Times New Roman" w:cs="Times New Roman"/>
          <w:bCs/>
          <w:i/>
          <w:kern w:val="36"/>
          <w:sz w:val="28"/>
          <w:szCs w:val="28"/>
          <w:lang w:eastAsia="it-IT"/>
        </w:rPr>
        <w:t>Accordo regionale di insediamento e sviluppo</w:t>
      </w:r>
      <w:r w:rsidRPr="0034468D">
        <w:rPr>
          <w:rFonts w:ascii="Times New Roman" w:eastAsia="Times New Roman" w:hAnsi="Times New Roman" w:cs="Times New Roman"/>
          <w:bCs/>
          <w:kern w:val="36"/>
          <w:sz w:val="28"/>
          <w:szCs w:val="28"/>
          <w:lang w:eastAsia="it-IT"/>
        </w:rPr>
        <w:t xml:space="preserve">” che attiva una procedura dedicata – attraverso la Conferenza dei servizi - che garantisce </w:t>
      </w:r>
      <w:r w:rsidRPr="0034468D">
        <w:rPr>
          <w:rFonts w:ascii="Times New Roman" w:eastAsia="Times New Roman" w:hAnsi="Times New Roman" w:cs="Times New Roman"/>
          <w:bCs/>
          <w:kern w:val="36"/>
          <w:sz w:val="28"/>
          <w:szCs w:val="28"/>
          <w:lang w:eastAsia="it-IT"/>
        </w:rPr>
        <w:lastRenderedPageBreak/>
        <w:t>certezza di tempi e contenuti per tutti gli elementi autorizzatori necessari per la realizzazione dello stabilimento produttivo e per la sua messa in opera.</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 xml:space="preserve">Un progetto di investimento viene innanzitutto trattato in conferenza preliminare, in modo da fornire al proponente ogni elemento utile alla progettazione esecutiva da presentare nella successiva conferenza decisoria, al termine della quale, un provvedimento unico assorbe pareri, intese, concerti, nulla osta o altri atti di assenso per la realizzazione e l’esercizio del progetto. </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La proposta di legge conferisce dunque alla Conferenza dei servizi indetta esclusivamente dalla Regione la funzione di desk unico per la trattazione amministrativa di tutti i procedimenti amministrativi di competenza dell’ente regionale, dei suoi enti strumentali e vigilati e di ogni altra autorità sub-regionale.</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Convergono nella conferenza regionale, ovviamente, anche le espressioni endoprocedimentali di amministrazioni ed enti dello Stato che potranno anche aderire all’accordo di insediamento e sviluppo.</w:t>
      </w:r>
    </w:p>
    <w:p w:rsidR="000036C8" w:rsidRPr="0034468D" w:rsidRDefault="00BD06B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Pr>
          <w:rFonts w:ascii="Times New Roman" w:eastAsia="Times New Roman" w:hAnsi="Times New Roman" w:cs="Times New Roman"/>
          <w:bCs/>
          <w:kern w:val="36"/>
          <w:sz w:val="28"/>
          <w:szCs w:val="28"/>
          <w:lang w:eastAsia="it-IT"/>
        </w:rPr>
        <w:t>Inoltre, il</w:t>
      </w:r>
      <w:r w:rsidR="000036C8" w:rsidRPr="0034468D">
        <w:rPr>
          <w:rFonts w:ascii="Times New Roman" w:eastAsia="Times New Roman" w:hAnsi="Times New Roman" w:cs="Times New Roman"/>
          <w:bCs/>
          <w:kern w:val="36"/>
          <w:sz w:val="28"/>
          <w:szCs w:val="28"/>
          <w:lang w:eastAsia="it-IT"/>
        </w:rPr>
        <w:t xml:space="preserve"> potenziamento dell’ecoambiente istituzionale, allo scopo di attrarre maggiori investimenti, sono le disposizioni del secondo titolo della proposta di legge, contenenti numerose disposizioni di semplificazione dei procedimenti amministrativi in materia urbanistica, in grado di ridurre significativamente oneri amministrativi per gli operatori economici per tutte le attività propedeutiche agli interventi di trasformazione o sviluppo territoriale ed immobiliare connessi all’impiantistica industriale.</w:t>
      </w:r>
    </w:p>
    <w:p w:rsidR="000036C8" w:rsidRPr="0034468D" w:rsidRDefault="000036C8" w:rsidP="000036C8">
      <w:pPr>
        <w:spacing w:after="120" w:line="360" w:lineRule="auto"/>
        <w:jc w:val="center"/>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w:t>
      </w:r>
      <w:r w:rsidR="00BD06B8">
        <w:rPr>
          <w:rFonts w:ascii="Times New Roman" w:eastAsia="Times New Roman" w:hAnsi="Times New Roman" w:cs="Times New Roman"/>
          <w:bCs/>
          <w:kern w:val="36"/>
          <w:sz w:val="28"/>
          <w:szCs w:val="28"/>
          <w:lang w:eastAsia="it-IT"/>
        </w:rPr>
        <w:t>**</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 xml:space="preserve">Queste leve operano dunque in modo interrelato per candidare il sistema economico e istituzionale del Lazio quale territorio per gli </w:t>
      </w:r>
      <w:r w:rsidRPr="0034468D">
        <w:rPr>
          <w:rFonts w:ascii="Times New Roman" w:eastAsia="Times New Roman" w:hAnsi="Times New Roman" w:cs="Times New Roman"/>
          <w:bCs/>
          <w:kern w:val="36"/>
          <w:sz w:val="28"/>
          <w:szCs w:val="28"/>
          <w:lang w:eastAsia="it-IT"/>
        </w:rPr>
        <w:lastRenderedPageBreak/>
        <w:t>investimenti nel prossimo decennio, attraverso un combinato avanzato di meccanismi di semplificazione amministrativa, di sostegno economico del s</w:t>
      </w:r>
      <w:r w:rsidR="00CE0C81">
        <w:rPr>
          <w:rFonts w:ascii="Times New Roman" w:eastAsia="Times New Roman" w:hAnsi="Times New Roman" w:cs="Times New Roman"/>
          <w:bCs/>
          <w:kern w:val="36"/>
          <w:sz w:val="28"/>
          <w:szCs w:val="28"/>
          <w:lang w:eastAsia="it-IT"/>
        </w:rPr>
        <w:t>ingolo progetto di investimento</w:t>
      </w:r>
      <w:bookmarkStart w:id="0" w:name="_GoBack"/>
      <w:bookmarkEnd w:id="0"/>
      <w:r w:rsidRPr="0034468D">
        <w:rPr>
          <w:rFonts w:ascii="Times New Roman" w:eastAsia="Times New Roman" w:hAnsi="Times New Roman" w:cs="Times New Roman"/>
          <w:bCs/>
          <w:kern w:val="36"/>
          <w:sz w:val="28"/>
          <w:szCs w:val="28"/>
          <w:lang w:eastAsia="it-IT"/>
        </w:rPr>
        <w:t>.</w:t>
      </w:r>
    </w:p>
    <w:p w:rsidR="000036C8" w:rsidRPr="0034468D" w:rsidRDefault="000036C8" w:rsidP="000036C8">
      <w:pPr>
        <w:spacing w:after="120" w:line="360" w:lineRule="auto"/>
        <w:ind w:firstLine="709"/>
        <w:jc w:val="both"/>
        <w:outlineLvl w:val="0"/>
        <w:rPr>
          <w:rFonts w:ascii="Times New Roman" w:eastAsia="Times New Roman" w:hAnsi="Times New Roman" w:cs="Times New Roman"/>
          <w:bCs/>
          <w:kern w:val="36"/>
          <w:sz w:val="28"/>
          <w:szCs w:val="28"/>
          <w:lang w:eastAsia="it-IT"/>
        </w:rPr>
      </w:pPr>
      <w:r w:rsidRPr="0034468D">
        <w:rPr>
          <w:rFonts w:ascii="Times New Roman" w:eastAsia="Times New Roman" w:hAnsi="Times New Roman" w:cs="Times New Roman"/>
          <w:bCs/>
          <w:kern w:val="36"/>
          <w:sz w:val="28"/>
          <w:szCs w:val="28"/>
          <w:lang w:eastAsia="it-IT"/>
        </w:rPr>
        <w:t xml:space="preserve">Accanto a questo insieme unitario di disposizioni per lo sviluppo, l’articolato normativo riposta ulteriori norme, componendosi di </w:t>
      </w:r>
      <w:r w:rsidR="00BD06B8">
        <w:rPr>
          <w:rFonts w:ascii="Times New Roman" w:eastAsia="Times New Roman" w:hAnsi="Times New Roman" w:cs="Times New Roman"/>
          <w:bCs/>
          <w:kern w:val="36"/>
          <w:sz w:val="28"/>
          <w:szCs w:val="28"/>
          <w:lang w:eastAsia="it-IT"/>
        </w:rPr>
        <w:t>23</w:t>
      </w:r>
      <w:r w:rsidRPr="0034468D">
        <w:rPr>
          <w:rFonts w:ascii="Times New Roman" w:eastAsia="Times New Roman" w:hAnsi="Times New Roman" w:cs="Times New Roman"/>
          <w:bCs/>
          <w:kern w:val="36"/>
          <w:sz w:val="28"/>
          <w:szCs w:val="28"/>
          <w:lang w:eastAsia="it-IT"/>
        </w:rPr>
        <w:t xml:space="preserve"> articoli, di seguito illustrati nel dettaglio.</w:t>
      </w:r>
    </w:p>
    <w:p w:rsidR="000036C8" w:rsidRDefault="000036C8" w:rsidP="00E776E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17979" w:rsidRPr="000F7002" w:rsidRDefault="00617979"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550856" w:rsidRPr="000F7002">
        <w:rPr>
          <w:rFonts w:ascii="Times New Roman" w:hAnsi="Times New Roman" w:cs="Times New Roman"/>
          <w:b/>
          <w:sz w:val="28"/>
          <w:szCs w:val="28"/>
        </w:rPr>
        <w:t>1</w:t>
      </w:r>
    </w:p>
    <w:p w:rsidR="001A28AC" w:rsidRPr="006128BF" w:rsidRDefault="003427D5" w:rsidP="0034468D">
      <w:pPr>
        <w:spacing w:after="120"/>
        <w:jc w:val="both"/>
        <w:rPr>
          <w:rFonts w:ascii="Times New Roman" w:hAnsi="Times New Roman" w:cs="Times New Roman"/>
          <w:sz w:val="28"/>
          <w:szCs w:val="28"/>
        </w:rPr>
      </w:pPr>
      <w:r w:rsidRPr="006128BF">
        <w:rPr>
          <w:rFonts w:ascii="Times New Roman" w:hAnsi="Times New Roman" w:cs="Times New Roman"/>
          <w:sz w:val="28"/>
          <w:szCs w:val="28"/>
        </w:rPr>
        <w:t xml:space="preserve">L’articolo </w:t>
      </w:r>
      <w:r w:rsidR="00A6597C" w:rsidRPr="006128BF">
        <w:rPr>
          <w:rFonts w:ascii="Times New Roman" w:hAnsi="Times New Roman" w:cs="Times New Roman"/>
          <w:sz w:val="28"/>
          <w:szCs w:val="28"/>
        </w:rPr>
        <w:t>1</w:t>
      </w:r>
      <w:r w:rsidRPr="006128BF">
        <w:rPr>
          <w:rFonts w:ascii="Times New Roman" w:hAnsi="Times New Roman" w:cs="Times New Roman"/>
          <w:sz w:val="28"/>
          <w:szCs w:val="28"/>
        </w:rPr>
        <w:t xml:space="preserve"> </w:t>
      </w:r>
      <w:r w:rsidRPr="000F7002">
        <w:rPr>
          <w:rFonts w:ascii="Times New Roman" w:hAnsi="Times New Roman" w:cs="Times New Roman"/>
          <w:b/>
          <w:sz w:val="28"/>
          <w:szCs w:val="28"/>
        </w:rPr>
        <w:t>disciplina le nuove funzioni attribuite al Consorzio industriale unico del Lazio</w:t>
      </w:r>
      <w:r w:rsidRPr="006128BF">
        <w:rPr>
          <w:rFonts w:ascii="Times New Roman" w:hAnsi="Times New Roman" w:cs="Times New Roman"/>
          <w:sz w:val="28"/>
          <w:szCs w:val="28"/>
        </w:rPr>
        <w:t xml:space="preserve">, sul tema dell’attrattività territoriale degli investimenti. </w:t>
      </w:r>
      <w:r w:rsidR="001A28AC" w:rsidRPr="006128BF">
        <w:rPr>
          <w:rFonts w:ascii="Times New Roman" w:hAnsi="Times New Roman" w:cs="Times New Roman"/>
          <w:sz w:val="28"/>
          <w:szCs w:val="28"/>
        </w:rPr>
        <w:t xml:space="preserve">Restando ferme le funzioni già esercitate dai precedenti consorzi </w:t>
      </w:r>
      <w:r w:rsidRPr="006128BF">
        <w:rPr>
          <w:rFonts w:ascii="Times New Roman" w:hAnsi="Times New Roman" w:cs="Times New Roman"/>
          <w:sz w:val="28"/>
          <w:szCs w:val="28"/>
        </w:rPr>
        <w:t xml:space="preserve">industriali </w:t>
      </w:r>
      <w:r w:rsidR="001A28AC" w:rsidRPr="006128BF">
        <w:rPr>
          <w:rFonts w:ascii="Times New Roman" w:hAnsi="Times New Roman" w:cs="Times New Roman"/>
          <w:sz w:val="28"/>
          <w:szCs w:val="28"/>
        </w:rPr>
        <w:t>ai sensi della lr 13/1997,</w:t>
      </w:r>
      <w:r w:rsidRPr="006128BF">
        <w:rPr>
          <w:rFonts w:ascii="Times New Roman" w:hAnsi="Times New Roman" w:cs="Times New Roman"/>
          <w:sz w:val="28"/>
          <w:szCs w:val="28"/>
        </w:rPr>
        <w:t xml:space="preserve"> il nuovo consorzio industriale sarà chiamato a svolgere, in particolare, le funzioni concernenti:</w:t>
      </w:r>
    </w:p>
    <w:p w:rsidR="003427D5" w:rsidRPr="006128BF" w:rsidRDefault="003427D5"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la ricerca di investitori nazionali ed esteri;</w:t>
      </w:r>
    </w:p>
    <w:p w:rsidR="003427D5" w:rsidRPr="006128BF" w:rsidRDefault="003427D5"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 xml:space="preserve">la promozione e la gestione di progetti strategici di innovazione industriale, </w:t>
      </w:r>
      <w:r w:rsidR="008230C4" w:rsidRPr="006128BF">
        <w:rPr>
          <w:rFonts w:ascii="Times New Roman" w:hAnsi="Times New Roman" w:cs="Times New Roman"/>
          <w:sz w:val="28"/>
          <w:szCs w:val="28"/>
        </w:rPr>
        <w:t>anche al fine del</w:t>
      </w:r>
      <w:r w:rsidRPr="006128BF">
        <w:rPr>
          <w:rFonts w:ascii="Times New Roman" w:hAnsi="Times New Roman" w:cs="Times New Roman"/>
          <w:sz w:val="28"/>
          <w:szCs w:val="28"/>
        </w:rPr>
        <w:t xml:space="preserve"> recupero e la riqualificazione delle aree industriali dismesse;</w:t>
      </w:r>
    </w:p>
    <w:p w:rsidR="003427D5" w:rsidRPr="006128BF" w:rsidRDefault="003427D5"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il supporto alla Regione nell’esercizio della funzione di punto unico di contatto e nella valutazione delle ricadute economiche, occupazionali, sociali ed ambientali;</w:t>
      </w:r>
    </w:p>
    <w:p w:rsidR="003427D5" w:rsidRPr="006128BF" w:rsidRDefault="003427D5"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la cooperazione alla realizzazione di opere per la fornitura di servizi necessari all’insediamento, allo sviluppo, alla riqualificazione e alla riconversione delle imprese;</w:t>
      </w:r>
    </w:p>
    <w:p w:rsidR="003427D5" w:rsidRPr="006128BF" w:rsidRDefault="003427D5"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lo sviluppo di sinergie di tipo distrettuale, mediante la valorizzazione delle competenze imprenditoriali e scientifiche;</w:t>
      </w:r>
    </w:p>
    <w:p w:rsidR="003427D5" w:rsidRPr="006128BF" w:rsidRDefault="00EF0ADB" w:rsidP="0034468D">
      <w:pPr>
        <w:pStyle w:val="Paragrafoelenco"/>
        <w:numPr>
          <w:ilvl w:val="0"/>
          <w:numId w:val="14"/>
        </w:numPr>
        <w:spacing w:after="120" w:line="240" w:lineRule="auto"/>
        <w:ind w:left="567"/>
        <w:contextualSpacing w:val="0"/>
        <w:jc w:val="both"/>
        <w:rPr>
          <w:rFonts w:ascii="Times New Roman" w:hAnsi="Times New Roman" w:cs="Times New Roman"/>
          <w:sz w:val="28"/>
          <w:szCs w:val="28"/>
        </w:rPr>
      </w:pPr>
      <w:r w:rsidRPr="006128BF">
        <w:rPr>
          <w:rFonts w:ascii="Times New Roman" w:hAnsi="Times New Roman" w:cs="Times New Roman"/>
          <w:sz w:val="28"/>
          <w:szCs w:val="28"/>
        </w:rPr>
        <w:t>l’</w:t>
      </w:r>
      <w:r w:rsidR="003427D5" w:rsidRPr="006128BF">
        <w:rPr>
          <w:rFonts w:ascii="Times New Roman" w:hAnsi="Times New Roman" w:cs="Times New Roman"/>
          <w:sz w:val="28"/>
          <w:szCs w:val="28"/>
        </w:rPr>
        <w:t>erogazione di servizi ad alto valore aggiunto per le imprese;</w:t>
      </w:r>
    </w:p>
    <w:p w:rsidR="00EF0ADB" w:rsidRPr="006128BF" w:rsidRDefault="00EF0ADB" w:rsidP="007021B9">
      <w:pPr>
        <w:pStyle w:val="Paragrafoelenco"/>
        <w:numPr>
          <w:ilvl w:val="0"/>
          <w:numId w:val="14"/>
        </w:numPr>
        <w:spacing w:after="120" w:line="240" w:lineRule="auto"/>
        <w:ind w:left="567" w:hanging="357"/>
        <w:contextualSpacing w:val="0"/>
        <w:jc w:val="both"/>
        <w:rPr>
          <w:rFonts w:ascii="Times New Roman" w:hAnsi="Times New Roman" w:cs="Times New Roman"/>
          <w:sz w:val="28"/>
          <w:szCs w:val="28"/>
        </w:rPr>
      </w:pPr>
      <w:r w:rsidRPr="006128BF">
        <w:rPr>
          <w:rFonts w:ascii="Times New Roman" w:hAnsi="Times New Roman" w:cs="Times New Roman"/>
          <w:sz w:val="28"/>
          <w:szCs w:val="28"/>
        </w:rPr>
        <w:t xml:space="preserve">la </w:t>
      </w:r>
      <w:r w:rsidR="003427D5" w:rsidRPr="006128BF">
        <w:rPr>
          <w:rFonts w:ascii="Times New Roman" w:hAnsi="Times New Roman" w:cs="Times New Roman"/>
          <w:sz w:val="28"/>
          <w:szCs w:val="28"/>
        </w:rPr>
        <w:t>gestione di incentivi e contributi a favore delle imprese.</w:t>
      </w:r>
    </w:p>
    <w:p w:rsidR="003427D5" w:rsidRPr="006128BF" w:rsidRDefault="00EF0ADB" w:rsidP="0034468D">
      <w:pPr>
        <w:spacing w:after="120" w:line="240" w:lineRule="auto"/>
        <w:jc w:val="both"/>
        <w:rPr>
          <w:rFonts w:ascii="Times New Roman" w:hAnsi="Times New Roman" w:cs="Times New Roman"/>
          <w:sz w:val="28"/>
          <w:szCs w:val="28"/>
        </w:rPr>
      </w:pPr>
      <w:r w:rsidRPr="006128BF">
        <w:rPr>
          <w:rFonts w:ascii="Times New Roman" w:hAnsi="Times New Roman" w:cs="Times New Roman"/>
          <w:sz w:val="28"/>
          <w:szCs w:val="28"/>
        </w:rPr>
        <w:t>Al fine di contribuire allo sviluppo dell’intero territorio regionale, i</w:t>
      </w:r>
      <w:r w:rsidR="003427D5" w:rsidRPr="006128BF">
        <w:rPr>
          <w:rFonts w:ascii="Times New Roman" w:hAnsi="Times New Roman" w:cs="Times New Roman"/>
          <w:sz w:val="28"/>
          <w:szCs w:val="28"/>
        </w:rPr>
        <w:t>l Consor</w:t>
      </w:r>
      <w:r w:rsidRPr="006128BF">
        <w:rPr>
          <w:rFonts w:ascii="Times New Roman" w:hAnsi="Times New Roman" w:cs="Times New Roman"/>
          <w:sz w:val="28"/>
          <w:szCs w:val="28"/>
        </w:rPr>
        <w:t>zio potrà</w:t>
      </w:r>
      <w:r w:rsidR="00B4230E" w:rsidRPr="006128BF">
        <w:rPr>
          <w:rFonts w:ascii="Times New Roman" w:hAnsi="Times New Roman" w:cs="Times New Roman"/>
          <w:sz w:val="28"/>
          <w:szCs w:val="28"/>
        </w:rPr>
        <w:t xml:space="preserve">, altresì, </w:t>
      </w:r>
      <w:r w:rsidRPr="006128BF">
        <w:rPr>
          <w:rFonts w:ascii="Times New Roman" w:hAnsi="Times New Roman" w:cs="Times New Roman"/>
          <w:sz w:val="28"/>
          <w:szCs w:val="28"/>
        </w:rPr>
        <w:t>stipulare</w:t>
      </w:r>
      <w:r w:rsidR="003427D5" w:rsidRPr="006128BF">
        <w:rPr>
          <w:rFonts w:ascii="Times New Roman" w:hAnsi="Times New Roman" w:cs="Times New Roman"/>
          <w:sz w:val="28"/>
          <w:szCs w:val="28"/>
        </w:rPr>
        <w:t xml:space="preserve"> appositi accordi con la Regione e con i comuni interessati </w:t>
      </w:r>
      <w:r w:rsidRPr="006128BF">
        <w:rPr>
          <w:rFonts w:ascii="Times New Roman" w:hAnsi="Times New Roman" w:cs="Times New Roman"/>
          <w:sz w:val="28"/>
          <w:szCs w:val="28"/>
        </w:rPr>
        <w:t xml:space="preserve">per </w:t>
      </w:r>
      <w:r w:rsidR="003427D5" w:rsidRPr="006128BF">
        <w:rPr>
          <w:rFonts w:ascii="Times New Roman" w:hAnsi="Times New Roman" w:cs="Times New Roman"/>
          <w:sz w:val="28"/>
          <w:szCs w:val="28"/>
        </w:rPr>
        <w:t xml:space="preserve">svolgere </w:t>
      </w:r>
      <w:r w:rsidRPr="006128BF">
        <w:rPr>
          <w:rFonts w:ascii="Times New Roman" w:hAnsi="Times New Roman" w:cs="Times New Roman"/>
          <w:sz w:val="28"/>
          <w:szCs w:val="28"/>
        </w:rPr>
        <w:t xml:space="preserve">le </w:t>
      </w:r>
      <w:r w:rsidR="003427D5" w:rsidRPr="006128BF">
        <w:rPr>
          <w:rFonts w:ascii="Times New Roman" w:hAnsi="Times New Roman" w:cs="Times New Roman"/>
          <w:sz w:val="28"/>
          <w:szCs w:val="28"/>
        </w:rPr>
        <w:t xml:space="preserve">attività </w:t>
      </w:r>
      <w:r w:rsidRPr="006128BF">
        <w:rPr>
          <w:rFonts w:ascii="Times New Roman" w:hAnsi="Times New Roman" w:cs="Times New Roman"/>
          <w:sz w:val="28"/>
          <w:szCs w:val="28"/>
        </w:rPr>
        <w:t xml:space="preserve">descritte </w:t>
      </w:r>
      <w:r w:rsidR="003427D5" w:rsidRPr="006128BF">
        <w:rPr>
          <w:rFonts w:ascii="Times New Roman" w:hAnsi="Times New Roman" w:cs="Times New Roman"/>
          <w:sz w:val="28"/>
          <w:szCs w:val="28"/>
        </w:rPr>
        <w:t xml:space="preserve">anche al di fuori del proprio territorio di competenza.  </w:t>
      </w:r>
    </w:p>
    <w:p w:rsidR="001A28AC" w:rsidRPr="006128BF" w:rsidRDefault="008230C4" w:rsidP="0034468D">
      <w:pPr>
        <w:spacing w:after="120"/>
        <w:jc w:val="both"/>
        <w:rPr>
          <w:rFonts w:ascii="Times New Roman" w:hAnsi="Times New Roman" w:cs="Times New Roman"/>
          <w:sz w:val="28"/>
          <w:szCs w:val="28"/>
        </w:rPr>
      </w:pPr>
      <w:r w:rsidRPr="006128BF">
        <w:rPr>
          <w:rFonts w:ascii="Times New Roman" w:hAnsi="Times New Roman" w:cs="Times New Roman"/>
          <w:sz w:val="28"/>
          <w:szCs w:val="28"/>
        </w:rPr>
        <w:lastRenderedPageBreak/>
        <w:t>I</w:t>
      </w:r>
      <w:r w:rsidR="00EF0ADB" w:rsidRPr="006128BF">
        <w:rPr>
          <w:rFonts w:ascii="Times New Roman" w:hAnsi="Times New Roman" w:cs="Times New Roman"/>
          <w:sz w:val="28"/>
          <w:szCs w:val="28"/>
        </w:rPr>
        <w:t xml:space="preserve">l Consorzio sarà </w:t>
      </w:r>
      <w:r w:rsidRPr="006128BF">
        <w:rPr>
          <w:rFonts w:ascii="Times New Roman" w:hAnsi="Times New Roman" w:cs="Times New Roman"/>
          <w:sz w:val="28"/>
          <w:szCs w:val="28"/>
        </w:rPr>
        <w:t xml:space="preserve">anche </w:t>
      </w:r>
      <w:r w:rsidR="00EF0ADB" w:rsidRPr="006128BF">
        <w:rPr>
          <w:rFonts w:ascii="Times New Roman" w:hAnsi="Times New Roman" w:cs="Times New Roman"/>
          <w:sz w:val="28"/>
          <w:szCs w:val="28"/>
        </w:rPr>
        <w:t>chiamato ad esercitare le funzioni di stazione appaltante competente ai fini dell’acquisizione di lavori</w:t>
      </w:r>
      <w:r w:rsidR="00B4230E" w:rsidRPr="006128BF">
        <w:rPr>
          <w:rFonts w:ascii="Times New Roman" w:hAnsi="Times New Roman" w:cs="Times New Roman"/>
          <w:sz w:val="28"/>
          <w:szCs w:val="28"/>
        </w:rPr>
        <w:t>, in modo da</w:t>
      </w:r>
      <w:r w:rsidR="00EF0ADB" w:rsidRPr="006128BF">
        <w:rPr>
          <w:rFonts w:ascii="Times New Roman" w:hAnsi="Times New Roman" w:cs="Times New Roman"/>
          <w:sz w:val="28"/>
          <w:szCs w:val="28"/>
        </w:rPr>
        <w:t xml:space="preserve"> garantirne l’economicità e l’efficacia.</w:t>
      </w:r>
    </w:p>
    <w:p w:rsidR="003427D5" w:rsidRPr="006128BF" w:rsidRDefault="00EF0ADB" w:rsidP="0034468D">
      <w:pPr>
        <w:spacing w:after="120"/>
        <w:jc w:val="both"/>
        <w:rPr>
          <w:rFonts w:ascii="Times New Roman" w:hAnsi="Times New Roman" w:cs="Times New Roman"/>
          <w:sz w:val="28"/>
          <w:szCs w:val="28"/>
        </w:rPr>
      </w:pPr>
      <w:r w:rsidRPr="006128BF">
        <w:rPr>
          <w:rFonts w:ascii="Times New Roman" w:hAnsi="Times New Roman" w:cs="Times New Roman"/>
          <w:sz w:val="28"/>
          <w:szCs w:val="28"/>
        </w:rPr>
        <w:t xml:space="preserve">Infine, </w:t>
      </w:r>
      <w:r w:rsidR="008230C4" w:rsidRPr="006128BF">
        <w:rPr>
          <w:rFonts w:ascii="Times New Roman" w:hAnsi="Times New Roman" w:cs="Times New Roman"/>
          <w:sz w:val="28"/>
          <w:szCs w:val="28"/>
        </w:rPr>
        <w:t>si</w:t>
      </w:r>
      <w:r w:rsidRPr="006128BF">
        <w:rPr>
          <w:rFonts w:ascii="Times New Roman" w:hAnsi="Times New Roman" w:cs="Times New Roman"/>
          <w:sz w:val="28"/>
          <w:szCs w:val="28"/>
        </w:rPr>
        <w:t xml:space="preserve"> definisce la governance del Consorzio, integrando le disposizioni già dettate, a livello di principi, dall’art. 40 della lr 7/2018. </w:t>
      </w:r>
    </w:p>
    <w:p w:rsidR="003427D5" w:rsidRPr="006128BF" w:rsidRDefault="003427D5" w:rsidP="0034468D">
      <w:pPr>
        <w:spacing w:after="120" w:line="240" w:lineRule="auto"/>
        <w:jc w:val="both"/>
        <w:rPr>
          <w:rFonts w:ascii="Times New Roman" w:hAnsi="Times New Roman" w:cs="Times New Roman"/>
          <w:sz w:val="28"/>
          <w:szCs w:val="28"/>
        </w:rPr>
      </w:pP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Art</w:t>
      </w:r>
      <w:r w:rsidR="009468FE" w:rsidRPr="000F7002">
        <w:rPr>
          <w:rFonts w:ascii="Times New Roman" w:hAnsi="Times New Roman" w:cs="Times New Roman"/>
          <w:b/>
          <w:sz w:val="28"/>
          <w:szCs w:val="28"/>
        </w:rPr>
        <w:t>.</w:t>
      </w:r>
      <w:r w:rsidRPr="000F7002">
        <w:rPr>
          <w:rFonts w:ascii="Times New Roman" w:hAnsi="Times New Roman" w:cs="Times New Roman"/>
          <w:b/>
          <w:sz w:val="28"/>
          <w:szCs w:val="28"/>
        </w:rPr>
        <w:t xml:space="preserve"> </w:t>
      </w:r>
      <w:r w:rsidR="00A6597C" w:rsidRPr="000F7002">
        <w:rPr>
          <w:rFonts w:ascii="Times New Roman" w:hAnsi="Times New Roman" w:cs="Times New Roman"/>
          <w:b/>
          <w:sz w:val="28"/>
          <w:szCs w:val="28"/>
        </w:rPr>
        <w:t>2</w:t>
      </w:r>
      <w:r w:rsidRPr="000F7002">
        <w:rPr>
          <w:rFonts w:ascii="Times New Roman" w:hAnsi="Times New Roman" w:cs="Times New Roman"/>
          <w:b/>
          <w:sz w:val="28"/>
          <w:szCs w:val="28"/>
        </w:rPr>
        <w:t xml:space="preserve"> </w:t>
      </w:r>
    </w:p>
    <w:p w:rsidR="00671C51" w:rsidRPr="000F7002" w:rsidRDefault="00B4230E" w:rsidP="0034468D">
      <w:pPr>
        <w:spacing w:after="120" w:line="259"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L’articolo </w:t>
      </w:r>
      <w:r w:rsidR="00A6597C" w:rsidRPr="000F7002">
        <w:rPr>
          <w:rFonts w:ascii="Times New Roman" w:hAnsi="Times New Roman" w:cs="Times New Roman"/>
          <w:b/>
          <w:sz w:val="28"/>
          <w:szCs w:val="28"/>
        </w:rPr>
        <w:t>2</w:t>
      </w:r>
      <w:r w:rsidRPr="000F7002">
        <w:rPr>
          <w:rFonts w:ascii="Times New Roman" w:hAnsi="Times New Roman" w:cs="Times New Roman"/>
          <w:b/>
          <w:sz w:val="28"/>
          <w:szCs w:val="28"/>
        </w:rPr>
        <w:t xml:space="preserve"> apporta</w:t>
      </w:r>
      <w:r w:rsidR="00671C51" w:rsidRPr="000F7002">
        <w:rPr>
          <w:rFonts w:ascii="Times New Roman" w:hAnsi="Times New Roman" w:cs="Times New Roman"/>
          <w:b/>
          <w:sz w:val="28"/>
          <w:szCs w:val="28"/>
        </w:rPr>
        <w:t xml:space="preserve"> modifiche alla l.r. 15/2008, allo scopo di coordinare, razionalizzare e semplificare le attività di vigilanza e l’esercizio dei poteri sostitutivi regionali in materia urbanistico edilizia.</w:t>
      </w:r>
    </w:p>
    <w:p w:rsidR="00671C51" w:rsidRPr="006128BF" w:rsidRDefault="00671C51" w:rsidP="0034468D">
      <w:pPr>
        <w:spacing w:after="120" w:line="259" w:lineRule="auto"/>
        <w:jc w:val="both"/>
        <w:rPr>
          <w:rFonts w:ascii="Times New Roman" w:hAnsi="Times New Roman" w:cs="Times New Roman"/>
          <w:sz w:val="28"/>
          <w:szCs w:val="28"/>
        </w:rPr>
      </w:pPr>
      <w:r w:rsidRPr="006128BF">
        <w:rPr>
          <w:rFonts w:ascii="Times New Roman" w:hAnsi="Times New Roman" w:cs="Times New Roman"/>
          <w:sz w:val="28"/>
          <w:szCs w:val="28"/>
        </w:rPr>
        <w:t xml:space="preserve">Tale intervento risulta necessario in quanto a più di dieci anni dall’entrata in vigore della normativa in oggetto occorre constatare che, a fronte di un incremento delle istanze e delle segnalazioni di abusi da parte dei privati cittadini, gli interventi per i quali i poteri sostitutivi vengono concretamente esercitati costituiscono per buona parte interventi di lieve entità anche in considerazione del fatto che la legge, per ciò che attiene </w:t>
      </w:r>
      <w:r w:rsidR="00FD2332" w:rsidRPr="006128BF">
        <w:rPr>
          <w:rFonts w:ascii="Times New Roman" w:hAnsi="Times New Roman" w:cs="Times New Roman"/>
          <w:sz w:val="28"/>
          <w:szCs w:val="28"/>
        </w:rPr>
        <w:t>al</w:t>
      </w:r>
      <w:r w:rsidRPr="006128BF">
        <w:rPr>
          <w:rFonts w:ascii="Times New Roman" w:hAnsi="Times New Roman" w:cs="Times New Roman"/>
          <w:sz w:val="28"/>
          <w:szCs w:val="28"/>
        </w:rPr>
        <w:t>l’intervento sostitutivo, non disciplina criteri di distinzione dei diversi abusi né per ciò che concerne la natura (se ad es. trattasi di illeciti in zona vincolata o meno) né per ciò che riguarda l’aspetto dimensionale dell’opera abusiva. Sulle strutture regionali pertanto gravano procedimenti lunghi e complessi che richiedono l’espressione della Giunta, del Consiglio delle Autonomie Locali e del Presidente della Regione per ciascun singolo intervento.</w:t>
      </w:r>
    </w:p>
    <w:p w:rsidR="00671C51" w:rsidRPr="006128BF" w:rsidRDefault="00671C51" w:rsidP="0034468D">
      <w:pPr>
        <w:spacing w:after="120" w:line="259" w:lineRule="auto"/>
        <w:jc w:val="both"/>
        <w:rPr>
          <w:rFonts w:ascii="Times New Roman" w:hAnsi="Times New Roman" w:cs="Times New Roman"/>
          <w:sz w:val="28"/>
          <w:szCs w:val="28"/>
        </w:rPr>
      </w:pPr>
      <w:r w:rsidRPr="006128BF">
        <w:rPr>
          <w:rFonts w:ascii="Times New Roman" w:hAnsi="Times New Roman" w:cs="Times New Roman"/>
          <w:sz w:val="28"/>
          <w:szCs w:val="28"/>
        </w:rPr>
        <w:t>Si propone pertanto un intervento legislativo finalizzato a ridare alla Regione il suo ruolo di tutela di interessi pubblici superiori e che riguardino interventi di livello territoriale significativo.</w:t>
      </w:r>
    </w:p>
    <w:p w:rsidR="00A6597C" w:rsidRPr="006128BF" w:rsidRDefault="00A6597C" w:rsidP="0034468D">
      <w:pPr>
        <w:spacing w:after="120" w:line="240" w:lineRule="auto"/>
        <w:jc w:val="both"/>
        <w:rPr>
          <w:rFonts w:ascii="Times New Roman" w:hAnsi="Times New Roman" w:cs="Times New Roman"/>
          <w:sz w:val="28"/>
          <w:szCs w:val="28"/>
        </w:rPr>
      </w:pP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A6597C" w:rsidRPr="000F7002">
        <w:rPr>
          <w:rFonts w:ascii="Times New Roman" w:hAnsi="Times New Roman" w:cs="Times New Roman"/>
          <w:b/>
          <w:sz w:val="28"/>
          <w:szCs w:val="28"/>
        </w:rPr>
        <w:t>3</w:t>
      </w: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L</w:t>
      </w:r>
      <w:r w:rsidR="00C658F6" w:rsidRPr="000F7002">
        <w:rPr>
          <w:rFonts w:ascii="Times New Roman" w:hAnsi="Times New Roman" w:cs="Times New Roman"/>
          <w:b/>
          <w:sz w:val="28"/>
          <w:szCs w:val="28"/>
        </w:rPr>
        <w:t xml:space="preserve">’articolo </w:t>
      </w:r>
      <w:r w:rsidR="00A6597C" w:rsidRPr="000F7002">
        <w:rPr>
          <w:rFonts w:ascii="Times New Roman" w:hAnsi="Times New Roman" w:cs="Times New Roman"/>
          <w:b/>
          <w:sz w:val="28"/>
          <w:szCs w:val="28"/>
        </w:rPr>
        <w:t>3</w:t>
      </w:r>
      <w:r w:rsidR="00C658F6" w:rsidRPr="000F7002">
        <w:rPr>
          <w:rFonts w:ascii="Times New Roman" w:hAnsi="Times New Roman" w:cs="Times New Roman"/>
          <w:b/>
          <w:sz w:val="28"/>
          <w:szCs w:val="28"/>
        </w:rPr>
        <w:t xml:space="preserve"> dispone</w:t>
      </w:r>
      <w:r w:rsidRPr="000F7002">
        <w:rPr>
          <w:rFonts w:ascii="Times New Roman" w:hAnsi="Times New Roman" w:cs="Times New Roman"/>
          <w:b/>
          <w:sz w:val="28"/>
          <w:szCs w:val="28"/>
        </w:rPr>
        <w:t xml:space="preserve"> la modifica della l.r. 8/2012, al fine di ampliare la delega di funzioni amministrative in materia di paesaggio. </w:t>
      </w:r>
    </w:p>
    <w:p w:rsidR="00671C51" w:rsidRPr="005D3998" w:rsidRDefault="00671C5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In sostanza, nelle materie elencate </w:t>
      </w:r>
      <w:r w:rsidR="00C658F6" w:rsidRPr="005D3998">
        <w:rPr>
          <w:rFonts w:ascii="Times New Roman" w:hAnsi="Times New Roman" w:cs="Times New Roman"/>
          <w:sz w:val="28"/>
          <w:szCs w:val="28"/>
        </w:rPr>
        <w:t xml:space="preserve">all’articolo 1 della l.r. 8/2012 sono indicati in modo puntuale gli interventi delegati </w:t>
      </w:r>
      <w:r w:rsidR="00011421">
        <w:rPr>
          <w:rFonts w:ascii="Times New Roman" w:hAnsi="Times New Roman" w:cs="Times New Roman"/>
          <w:sz w:val="28"/>
          <w:szCs w:val="28"/>
        </w:rPr>
        <w:t>a</w:t>
      </w:r>
      <w:r w:rsidRPr="005D3998">
        <w:rPr>
          <w:rFonts w:ascii="Times New Roman" w:hAnsi="Times New Roman" w:cs="Times New Roman"/>
          <w:sz w:val="28"/>
          <w:szCs w:val="28"/>
        </w:rPr>
        <w:t>i Comuni</w:t>
      </w:r>
      <w:r w:rsidR="002D7A0D" w:rsidRPr="005D3998">
        <w:rPr>
          <w:rFonts w:ascii="Times New Roman" w:hAnsi="Times New Roman" w:cs="Times New Roman"/>
          <w:sz w:val="28"/>
          <w:szCs w:val="28"/>
        </w:rPr>
        <w:t>, anche nelle forme associative,</w:t>
      </w:r>
      <w:r w:rsidRPr="005D3998">
        <w:rPr>
          <w:rFonts w:ascii="Times New Roman" w:hAnsi="Times New Roman" w:cs="Times New Roman"/>
          <w:sz w:val="28"/>
          <w:szCs w:val="28"/>
        </w:rPr>
        <w:t xml:space="preserve"> che presentano determinati requisiti, gestiscono, insieme alla competente Soprintendenza, il procedi</w:t>
      </w:r>
      <w:r w:rsidR="00011421">
        <w:rPr>
          <w:rFonts w:ascii="Times New Roman" w:hAnsi="Times New Roman" w:cs="Times New Roman"/>
          <w:sz w:val="28"/>
          <w:szCs w:val="28"/>
        </w:rPr>
        <w:t>mento autorizzativo e rilasciare</w:t>
      </w:r>
      <w:r w:rsidRPr="005D3998">
        <w:rPr>
          <w:rFonts w:ascii="Times New Roman" w:hAnsi="Times New Roman" w:cs="Times New Roman"/>
          <w:sz w:val="28"/>
          <w:szCs w:val="28"/>
        </w:rPr>
        <w:t xml:space="preserve"> il provvedimento conclusivo che autorizza o nega l’intervento proposto in area soggetta a vincolo paesaggistico.</w:t>
      </w:r>
      <w:r w:rsidR="002D7A0D" w:rsidRPr="005D3998">
        <w:rPr>
          <w:rFonts w:ascii="Times New Roman" w:hAnsi="Times New Roman" w:cs="Times New Roman"/>
          <w:sz w:val="28"/>
          <w:szCs w:val="28"/>
        </w:rPr>
        <w:t xml:space="preserve"> Viene introdotto l’obbligo per i comuni di </w:t>
      </w:r>
      <w:r w:rsidR="002D7A0D" w:rsidRPr="005D3998">
        <w:rPr>
          <w:rFonts w:ascii="Times New Roman" w:hAnsi="Times New Roman" w:cs="Times New Roman"/>
          <w:sz w:val="28"/>
          <w:szCs w:val="28"/>
        </w:rPr>
        <w:lastRenderedPageBreak/>
        <w:t>destinare il 25% degli introiti derivanti dalle compatibilità paesaggistiche alla riqualificazione e al contrasto del rischio idrogeologico.</w:t>
      </w:r>
    </w:p>
    <w:p w:rsidR="00671C51" w:rsidRPr="005D3998" w:rsidRDefault="00671C5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Le modifiche rispondono ad una duplice esigenza: ampliare la funzione di amministrazione attiva e di gestione diretta in materia di governo del territorio facente capo ai Comuni e liberare risorse umane e strumentali per le funzioni di programmazione, pianificazione e controllo proprie della Regione.</w:t>
      </w:r>
    </w:p>
    <w:p w:rsidR="00F64911" w:rsidRPr="005D3998" w:rsidRDefault="00F64911" w:rsidP="0034468D">
      <w:pPr>
        <w:spacing w:after="120" w:line="259" w:lineRule="auto"/>
        <w:jc w:val="both"/>
        <w:rPr>
          <w:rFonts w:ascii="Times New Roman" w:hAnsi="Times New Roman" w:cs="Times New Roman"/>
          <w:sz w:val="28"/>
          <w:szCs w:val="28"/>
        </w:rPr>
      </w:pPr>
    </w:p>
    <w:p w:rsidR="00671C51" w:rsidRPr="000F7002" w:rsidRDefault="00671C51" w:rsidP="0034468D">
      <w:pPr>
        <w:spacing w:after="120"/>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2D7A0D" w:rsidRPr="000F7002">
        <w:rPr>
          <w:rFonts w:ascii="Times New Roman" w:hAnsi="Times New Roman" w:cs="Times New Roman"/>
          <w:b/>
          <w:sz w:val="28"/>
          <w:szCs w:val="28"/>
        </w:rPr>
        <w:t>4</w:t>
      </w:r>
      <w:r w:rsidRPr="000F7002">
        <w:rPr>
          <w:rFonts w:ascii="Times New Roman" w:hAnsi="Times New Roman" w:cs="Times New Roman"/>
          <w:b/>
          <w:sz w:val="28"/>
          <w:szCs w:val="28"/>
        </w:rPr>
        <w:t xml:space="preserve"> </w:t>
      </w:r>
    </w:p>
    <w:p w:rsidR="00671C51" w:rsidRPr="005D3998" w:rsidRDefault="00671C51" w:rsidP="0034468D">
      <w:pPr>
        <w:spacing w:after="120" w:line="240" w:lineRule="auto"/>
        <w:jc w:val="both"/>
        <w:rPr>
          <w:rFonts w:ascii="Times New Roman" w:hAnsi="Times New Roman" w:cs="Times New Roman"/>
          <w:sz w:val="28"/>
          <w:szCs w:val="28"/>
        </w:rPr>
      </w:pPr>
      <w:r w:rsidRPr="000F7002">
        <w:rPr>
          <w:rFonts w:ascii="Times New Roman" w:hAnsi="Times New Roman" w:cs="Times New Roman"/>
          <w:b/>
          <w:sz w:val="28"/>
          <w:szCs w:val="28"/>
        </w:rPr>
        <w:t xml:space="preserve">L’articolo </w:t>
      </w:r>
      <w:r w:rsidR="002D7A0D" w:rsidRPr="000F7002">
        <w:rPr>
          <w:rFonts w:ascii="Times New Roman" w:hAnsi="Times New Roman" w:cs="Times New Roman"/>
          <w:b/>
          <w:sz w:val="28"/>
          <w:szCs w:val="28"/>
        </w:rPr>
        <w:t>4</w:t>
      </w:r>
      <w:r w:rsidR="00C658F6" w:rsidRPr="000F7002">
        <w:rPr>
          <w:rFonts w:ascii="Times New Roman" w:hAnsi="Times New Roman" w:cs="Times New Roman"/>
          <w:b/>
          <w:sz w:val="28"/>
          <w:szCs w:val="28"/>
        </w:rPr>
        <w:t xml:space="preserve"> </w:t>
      </w:r>
      <w:r w:rsidRPr="000F7002">
        <w:rPr>
          <w:rFonts w:ascii="Times New Roman" w:hAnsi="Times New Roman" w:cs="Times New Roman"/>
          <w:b/>
          <w:sz w:val="28"/>
          <w:szCs w:val="28"/>
        </w:rPr>
        <w:t>contiene disposizioni in materia di Valutazione Ambientale Strategica (VAS)</w:t>
      </w:r>
      <w:r w:rsidRPr="005D3998">
        <w:rPr>
          <w:rFonts w:ascii="Times New Roman" w:hAnsi="Times New Roman" w:cs="Times New Roman"/>
          <w:sz w:val="28"/>
          <w:szCs w:val="28"/>
        </w:rPr>
        <w:t xml:space="preserve"> al fine di individuare nuove disposizioni operative in merito alle procedure di VAS, a oltre nove anni da quelle emanate con la DGR n.169 del 05/03/2010, nonché a delegare alcune funzioni in materia ambientale.</w:t>
      </w:r>
    </w:p>
    <w:p w:rsidR="00671C51" w:rsidRPr="005D3998" w:rsidRDefault="00671C5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Sulla scorta di quanto previsto dall’art. 7, commi 2 e 7, del d.lgs. 152/2006 tale intervento legislativo discende dall’esigenza di disporre, in analogia con quanto già operato dalla maggioranza delle Regioni, alcune funzioni di delega in favore degli enti locali ed in particolare dei Comuni</w:t>
      </w:r>
      <w:r w:rsidR="00B933BC" w:rsidRPr="005D3998">
        <w:rPr>
          <w:rFonts w:ascii="Times New Roman" w:hAnsi="Times New Roman" w:cs="Times New Roman"/>
          <w:sz w:val="28"/>
          <w:szCs w:val="28"/>
        </w:rPr>
        <w:t xml:space="preserve">, </w:t>
      </w:r>
      <w:r w:rsidRPr="005D3998">
        <w:rPr>
          <w:rFonts w:ascii="Times New Roman" w:hAnsi="Times New Roman" w:cs="Times New Roman"/>
          <w:sz w:val="28"/>
          <w:szCs w:val="28"/>
        </w:rPr>
        <w:t>limitatamente ai procedimenti urbanistici la cui competenza è in capo ai Comuni stessi. La possibilità che l’Ente locale delegato svolga contemporaneamente la funzione di autorità competente e autorità procedente in materia di VAS, non solo trova supporto nella vigente nor</w:t>
      </w:r>
      <w:r w:rsidR="004D54DD" w:rsidRPr="005D3998">
        <w:rPr>
          <w:rFonts w:ascii="Times New Roman" w:hAnsi="Times New Roman" w:cs="Times New Roman"/>
          <w:sz w:val="28"/>
          <w:szCs w:val="28"/>
        </w:rPr>
        <w:t>mativa comunitaria e nazionale</w:t>
      </w:r>
      <w:r w:rsidRPr="005D3998">
        <w:rPr>
          <w:rFonts w:ascii="Times New Roman" w:hAnsi="Times New Roman" w:cs="Times New Roman"/>
          <w:sz w:val="28"/>
          <w:szCs w:val="28"/>
        </w:rPr>
        <w:t>, ma anche a livello giurisprudenziale tale possibilità è stata chiaramente enunciata (cfr. sentenza C.d.S. n.133 del 12/01/2011). La stessa giurisprudenza amministrativa ha sottolineato in ogni caso la necessità che, qualora autorità procedente e autorità competente risultino interne alla stessa amministrazione, l’autorità competente venga individuata in diverso organo o articolazione della stessa amministrazione procedente.</w:t>
      </w:r>
    </w:p>
    <w:p w:rsidR="00B933BC" w:rsidRPr="005D3998" w:rsidRDefault="00B933BC"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Per favorire l’adeguata competenza tecnica e amministrativa in materia di tutela, protezione e valorizzazione ambientale, la Regione promuove attività di supporto e formazione alle amministrazioni locali interessate.</w:t>
      </w:r>
    </w:p>
    <w:p w:rsidR="004D54DD" w:rsidRPr="005D3998" w:rsidRDefault="004D54DD" w:rsidP="0034468D">
      <w:pPr>
        <w:spacing w:after="120" w:line="240" w:lineRule="auto"/>
        <w:jc w:val="both"/>
        <w:rPr>
          <w:rFonts w:ascii="Times New Roman" w:hAnsi="Times New Roman" w:cs="Times New Roman"/>
          <w:sz w:val="28"/>
          <w:szCs w:val="28"/>
        </w:rPr>
      </w:pP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176C74" w:rsidRPr="000F7002">
        <w:rPr>
          <w:rFonts w:ascii="Times New Roman" w:hAnsi="Times New Roman" w:cs="Times New Roman"/>
          <w:b/>
          <w:sz w:val="28"/>
          <w:szCs w:val="28"/>
        </w:rPr>
        <w:t>5</w:t>
      </w:r>
      <w:r w:rsidRPr="000F7002">
        <w:rPr>
          <w:rFonts w:ascii="Times New Roman" w:hAnsi="Times New Roman" w:cs="Times New Roman"/>
          <w:b/>
          <w:sz w:val="28"/>
          <w:szCs w:val="28"/>
        </w:rPr>
        <w:t xml:space="preserve"> </w:t>
      </w: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Con l</w:t>
      </w:r>
      <w:r w:rsidR="00C658F6" w:rsidRPr="000F7002">
        <w:rPr>
          <w:rFonts w:ascii="Times New Roman" w:hAnsi="Times New Roman" w:cs="Times New Roman"/>
          <w:b/>
          <w:sz w:val="28"/>
          <w:szCs w:val="28"/>
        </w:rPr>
        <w:t xml:space="preserve">’articolo </w:t>
      </w:r>
      <w:r w:rsidR="00176C74" w:rsidRPr="000F7002">
        <w:rPr>
          <w:rFonts w:ascii="Times New Roman" w:hAnsi="Times New Roman" w:cs="Times New Roman"/>
          <w:b/>
          <w:sz w:val="28"/>
          <w:szCs w:val="28"/>
        </w:rPr>
        <w:t>5</w:t>
      </w:r>
      <w:r w:rsidRPr="000F7002">
        <w:rPr>
          <w:rFonts w:ascii="Times New Roman" w:hAnsi="Times New Roman" w:cs="Times New Roman"/>
          <w:b/>
          <w:sz w:val="28"/>
          <w:szCs w:val="28"/>
        </w:rPr>
        <w:t xml:space="preserve"> si interviene sulla legge regionale 36/1987, al fine di introdurre incisive misure di semplificazione e snellimento nelle procedure urbanistiche in vigore, con l’obiettivo di ridurne </w:t>
      </w:r>
      <w:r w:rsidRPr="000F7002">
        <w:rPr>
          <w:rFonts w:ascii="Times New Roman" w:hAnsi="Times New Roman" w:cs="Times New Roman"/>
          <w:b/>
          <w:sz w:val="28"/>
          <w:szCs w:val="28"/>
        </w:rPr>
        <w:lastRenderedPageBreak/>
        <w:t>sensibilmente i tempi necessari per giungere all’approvazione degli strumenti urbanistici.</w:t>
      </w:r>
    </w:p>
    <w:p w:rsidR="00671C51" w:rsidRPr="005D3998" w:rsidRDefault="00671C5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In primo luogo</w:t>
      </w:r>
      <w:r w:rsidR="00F8050A" w:rsidRPr="005D3998">
        <w:rPr>
          <w:rFonts w:ascii="Times New Roman" w:hAnsi="Times New Roman" w:cs="Times New Roman"/>
          <w:sz w:val="28"/>
          <w:szCs w:val="28"/>
        </w:rPr>
        <w:t>,</w:t>
      </w:r>
      <w:r w:rsidRPr="005D3998">
        <w:rPr>
          <w:rFonts w:ascii="Times New Roman" w:hAnsi="Times New Roman" w:cs="Times New Roman"/>
          <w:sz w:val="28"/>
          <w:szCs w:val="28"/>
        </w:rPr>
        <w:t xml:space="preserve"> si è intervenuto sulle varianti urbanistiche, individuando tipologie di varianti urbanistiche che, per la loro limitata incidenza territoriale o insediativa, vengono assoggettate alla procedura di approvare che la l.r. 36/1987 già prevede per gli strumenti urbanistici in variante. È da osservare, in proposito, che fino ad adesso, indistintamente tutte le varianti sono sottoposte alla medesima procedura approvativa, quella prevista dalla legge 1150/1942, la quale prevede, senza termini e senza conseguenze per il silenzio, una espressa deliberazione di giunta regionale preceduta dalla espressione del comitato regionale per il territorio.</w:t>
      </w:r>
    </w:p>
    <w:p w:rsidR="00671C51" w:rsidRPr="005D3998" w:rsidRDefault="00671C5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Si è quindi ritenuto di sottoporre determinate varianti, considerate di minore impatto urbanistico e con ridotte ripercussioni sull’assetto già delineato dal piano regolatore come approvato dalla Regione, alla procedura semplificata di cui all’art. 4 della l.r. 36/1987, che non prevede il parere del comitato e l’approvazione implicita della variante se nel termine, portato a 120 giorni per questa fattispecie rispetto ai 90 dell’art. 4, non interviene la deliberazione di giunta regionale.</w:t>
      </w:r>
    </w:p>
    <w:p w:rsidR="00E257F4" w:rsidRPr="005D3998" w:rsidRDefault="00E257F4" w:rsidP="0034468D">
      <w:pPr>
        <w:spacing w:after="120" w:line="240" w:lineRule="auto"/>
        <w:jc w:val="center"/>
        <w:rPr>
          <w:rFonts w:ascii="Times New Roman" w:hAnsi="Times New Roman" w:cs="Times New Roman"/>
          <w:sz w:val="28"/>
          <w:szCs w:val="28"/>
        </w:rPr>
      </w:pPr>
    </w:p>
    <w:p w:rsidR="00671C51" w:rsidRPr="000F7002" w:rsidRDefault="00671C51"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F8050A" w:rsidRPr="000F7002">
        <w:rPr>
          <w:rFonts w:ascii="Times New Roman" w:hAnsi="Times New Roman" w:cs="Times New Roman"/>
          <w:b/>
          <w:sz w:val="28"/>
          <w:szCs w:val="28"/>
        </w:rPr>
        <w:t>6</w:t>
      </w:r>
    </w:p>
    <w:p w:rsidR="00671C51" w:rsidRPr="000F7002" w:rsidRDefault="00C658F6" w:rsidP="0034468D">
      <w:pPr>
        <w:spacing w:after="120" w:line="240" w:lineRule="auto"/>
        <w:jc w:val="both"/>
        <w:rPr>
          <w:rFonts w:ascii="Times New Roman" w:hAnsi="Times New Roman" w:cs="Times New Roman"/>
          <w:b/>
          <w:sz w:val="28"/>
          <w:szCs w:val="28"/>
        </w:rPr>
      </w:pPr>
      <w:r w:rsidRPr="005D3998">
        <w:rPr>
          <w:rFonts w:ascii="Times New Roman" w:hAnsi="Times New Roman" w:cs="Times New Roman"/>
          <w:sz w:val="28"/>
          <w:szCs w:val="28"/>
        </w:rPr>
        <w:t xml:space="preserve">L’articolo </w:t>
      </w:r>
      <w:r w:rsidR="00F8050A" w:rsidRPr="005D3998">
        <w:rPr>
          <w:rFonts w:ascii="Times New Roman" w:hAnsi="Times New Roman" w:cs="Times New Roman"/>
          <w:sz w:val="28"/>
          <w:szCs w:val="28"/>
        </w:rPr>
        <w:t>6</w:t>
      </w:r>
      <w:r w:rsidRPr="005D3998">
        <w:rPr>
          <w:rFonts w:ascii="Times New Roman" w:hAnsi="Times New Roman" w:cs="Times New Roman"/>
          <w:sz w:val="28"/>
          <w:szCs w:val="28"/>
        </w:rPr>
        <w:t>, a</w:t>
      </w:r>
      <w:r w:rsidR="00671C51" w:rsidRPr="005D3998">
        <w:rPr>
          <w:rFonts w:ascii="Times New Roman" w:hAnsi="Times New Roman" w:cs="Times New Roman"/>
          <w:sz w:val="28"/>
          <w:szCs w:val="28"/>
        </w:rPr>
        <w:t>llo scopo di razionalizzare e semplificare i procedimenti di approvazione dei piani regolatori e dei piani attuativi</w:t>
      </w:r>
      <w:r w:rsidRPr="005D3998">
        <w:rPr>
          <w:rFonts w:ascii="Times New Roman" w:hAnsi="Times New Roman" w:cs="Times New Roman"/>
          <w:sz w:val="28"/>
          <w:szCs w:val="28"/>
        </w:rPr>
        <w:t>,</w:t>
      </w:r>
      <w:r w:rsidR="00671C51" w:rsidRPr="005D3998">
        <w:rPr>
          <w:rFonts w:ascii="Times New Roman" w:hAnsi="Times New Roman" w:cs="Times New Roman"/>
          <w:sz w:val="28"/>
          <w:szCs w:val="28"/>
        </w:rPr>
        <w:t xml:space="preserve"> </w:t>
      </w:r>
      <w:r w:rsidR="00671C51" w:rsidRPr="000F7002">
        <w:rPr>
          <w:rFonts w:ascii="Times New Roman" w:hAnsi="Times New Roman" w:cs="Times New Roman"/>
          <w:b/>
          <w:sz w:val="28"/>
          <w:szCs w:val="28"/>
        </w:rPr>
        <w:t xml:space="preserve">disciplina il procedimento di restituzione ai Comuni dei piani affetti da irregolarità o con documentazione mancante, specificando la natura di atto dirigenziale della restituzione (finora invece effettuata con deliberazione di giunta), e chiarendo l’effetto di decadenza delle misure di salvaguardia. </w:t>
      </w:r>
    </w:p>
    <w:p w:rsidR="00671C51" w:rsidRPr="005D3998" w:rsidRDefault="00671C51" w:rsidP="0034468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A tal fine si propone l’inserimento dell’articolo 66 ter nell’ambito della legge regionale 38/1999 recante le disposizioni sopra sinteticamente esposte finalizzate alla semplificazione istruttoria per l’approvazione dei piani regolatori degli strumenti urbanistici generali e dei piani attuativi.</w:t>
      </w:r>
    </w:p>
    <w:p w:rsidR="00F8050A" w:rsidRPr="005D3998" w:rsidRDefault="00F8050A" w:rsidP="00F8050A">
      <w:pPr>
        <w:jc w:val="both"/>
        <w:rPr>
          <w:rFonts w:ascii="Times New Roman" w:hAnsi="Times New Roman" w:cs="Times New Roman"/>
          <w:sz w:val="28"/>
          <w:szCs w:val="28"/>
        </w:rPr>
      </w:pPr>
      <w:r w:rsidRPr="005D3998">
        <w:rPr>
          <w:rFonts w:ascii="Times New Roman" w:hAnsi="Times New Roman" w:cs="Times New Roman"/>
          <w:sz w:val="28"/>
          <w:szCs w:val="28"/>
        </w:rPr>
        <w:t xml:space="preserve">Con un emendamento approvato in Commissione bilancio sono state introdotte alcune modifiche </w:t>
      </w:r>
      <w:r w:rsidR="00FB1AD2" w:rsidRPr="005D3998">
        <w:rPr>
          <w:rFonts w:ascii="Times New Roman" w:hAnsi="Times New Roman" w:cs="Times New Roman"/>
          <w:sz w:val="28"/>
          <w:szCs w:val="28"/>
        </w:rPr>
        <w:t xml:space="preserve">agli articoli sull’edificazione in zona agricola, effettuando sostanzialmente una riformulazione generale della disciplina. </w:t>
      </w:r>
      <w:r w:rsidRPr="005D3998">
        <w:rPr>
          <w:rFonts w:ascii="Times New Roman" w:hAnsi="Times New Roman" w:cs="Times New Roman"/>
          <w:sz w:val="28"/>
          <w:szCs w:val="28"/>
        </w:rPr>
        <w:t>In particolare</w:t>
      </w:r>
      <w:r w:rsidR="00FB1AD2" w:rsidRPr="005D3998">
        <w:rPr>
          <w:rFonts w:ascii="Times New Roman" w:hAnsi="Times New Roman" w:cs="Times New Roman"/>
          <w:sz w:val="28"/>
          <w:szCs w:val="28"/>
        </w:rPr>
        <w:t>,</w:t>
      </w:r>
      <w:r w:rsidRPr="005D3998">
        <w:rPr>
          <w:rFonts w:ascii="Times New Roman" w:hAnsi="Times New Roman" w:cs="Times New Roman"/>
          <w:sz w:val="28"/>
          <w:szCs w:val="28"/>
        </w:rPr>
        <w:t xml:space="preserve"> si </w:t>
      </w:r>
      <w:r w:rsidR="00FB1AD2" w:rsidRPr="005D3998">
        <w:rPr>
          <w:rFonts w:ascii="Times New Roman" w:hAnsi="Times New Roman" w:cs="Times New Roman"/>
          <w:sz w:val="28"/>
          <w:szCs w:val="28"/>
        </w:rPr>
        <w:t xml:space="preserve">introduce </w:t>
      </w:r>
      <w:r w:rsidRPr="005D3998">
        <w:rPr>
          <w:rFonts w:ascii="Times New Roman" w:hAnsi="Times New Roman" w:cs="Times New Roman"/>
          <w:sz w:val="28"/>
          <w:szCs w:val="28"/>
        </w:rPr>
        <w:t>quale parte del Par il piano della diversificazione agricola</w:t>
      </w:r>
      <w:r w:rsidR="00FB1AD2" w:rsidRPr="005D3998">
        <w:rPr>
          <w:rFonts w:ascii="Times New Roman" w:hAnsi="Times New Roman" w:cs="Times New Roman"/>
          <w:sz w:val="28"/>
          <w:szCs w:val="28"/>
        </w:rPr>
        <w:t>,</w:t>
      </w:r>
      <w:r w:rsidRPr="005D3998">
        <w:rPr>
          <w:rFonts w:ascii="Times New Roman" w:hAnsi="Times New Roman" w:cs="Times New Roman"/>
          <w:sz w:val="28"/>
          <w:szCs w:val="28"/>
        </w:rPr>
        <w:t xml:space="preserve"> autorizzando l’esercizio nelle zone agricole delle attività imprenditoriali. </w:t>
      </w:r>
    </w:p>
    <w:p w:rsidR="007C1001" w:rsidRPr="000F7002" w:rsidRDefault="007C1001" w:rsidP="0034468D">
      <w:pPr>
        <w:spacing w:after="120" w:line="259" w:lineRule="auto"/>
        <w:jc w:val="both"/>
        <w:rPr>
          <w:rFonts w:ascii="Times New Roman" w:hAnsi="Times New Roman" w:cs="Times New Roman"/>
          <w:b/>
          <w:sz w:val="28"/>
          <w:szCs w:val="28"/>
        </w:rPr>
      </w:pPr>
      <w:r w:rsidRPr="000F7002">
        <w:rPr>
          <w:rFonts w:ascii="Times New Roman" w:hAnsi="Times New Roman" w:cs="Times New Roman"/>
          <w:b/>
          <w:sz w:val="28"/>
          <w:szCs w:val="28"/>
        </w:rPr>
        <w:lastRenderedPageBreak/>
        <w:t xml:space="preserve">Art. </w:t>
      </w:r>
      <w:r w:rsidR="00230461" w:rsidRPr="000F7002">
        <w:rPr>
          <w:rFonts w:ascii="Times New Roman" w:hAnsi="Times New Roman" w:cs="Times New Roman"/>
          <w:b/>
          <w:sz w:val="28"/>
          <w:szCs w:val="28"/>
        </w:rPr>
        <w:t>7</w:t>
      </w:r>
    </w:p>
    <w:p w:rsidR="007C1001" w:rsidRPr="000F7002" w:rsidRDefault="007C1001" w:rsidP="0034468D">
      <w:pPr>
        <w:spacing w:after="120" w:line="259" w:lineRule="auto"/>
        <w:jc w:val="both"/>
        <w:rPr>
          <w:rFonts w:ascii="Times New Roman" w:hAnsi="Times New Roman" w:cs="Times New Roman"/>
          <w:b/>
          <w:sz w:val="28"/>
          <w:szCs w:val="28"/>
        </w:rPr>
      </w:pPr>
      <w:r w:rsidRPr="005D3998">
        <w:rPr>
          <w:rFonts w:ascii="Times New Roman" w:hAnsi="Times New Roman" w:cs="Times New Roman"/>
          <w:sz w:val="28"/>
          <w:szCs w:val="28"/>
        </w:rPr>
        <w:t xml:space="preserve">Con l’articolo </w:t>
      </w:r>
      <w:r w:rsidR="00230461" w:rsidRPr="005D3998">
        <w:rPr>
          <w:rFonts w:ascii="Times New Roman" w:hAnsi="Times New Roman" w:cs="Times New Roman"/>
          <w:sz w:val="28"/>
          <w:szCs w:val="28"/>
        </w:rPr>
        <w:t>7</w:t>
      </w:r>
      <w:r w:rsidRPr="005D3998">
        <w:rPr>
          <w:rFonts w:ascii="Times New Roman" w:hAnsi="Times New Roman" w:cs="Times New Roman"/>
          <w:sz w:val="28"/>
          <w:szCs w:val="28"/>
        </w:rPr>
        <w:t xml:space="preserve"> si intende avviare una </w:t>
      </w:r>
      <w:r w:rsidRPr="000F7002">
        <w:rPr>
          <w:rFonts w:ascii="Times New Roman" w:hAnsi="Times New Roman" w:cs="Times New Roman"/>
          <w:b/>
          <w:sz w:val="28"/>
          <w:szCs w:val="28"/>
        </w:rPr>
        <w:t xml:space="preserve">ricognizione dei procedimenti di concessione aventi ad oggetto beni regionali, strumentale ad una successiva revisione dell’assetto organizzativo degli uffici regionali con l’obiettivo di concentrazione dei procedimenti e delle competenze. </w:t>
      </w:r>
    </w:p>
    <w:p w:rsidR="007C1001" w:rsidRPr="005D3998" w:rsidRDefault="007C100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A tale fine, viene delegato ad uno o più regolamenti di Giunta regionale, oltre al riordino dell’assetto organizzativo, anche l’aggiornamento dei canoni di concessione e degli importi dovuti a titolo di indennità di occupazione a seguito della scadenza del titolo concessorio.</w:t>
      </w:r>
    </w:p>
    <w:p w:rsidR="007C1001" w:rsidRPr="005D3998" w:rsidRDefault="007C100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Nelle more della riorganizzazione delle competenze e dell’adozione dei regolamenti citati, le disposizioni dei commi 4 e 5 apportano delle modifiche alla legge regionale 22 maggio 1995, n. 22 (Definitiva sistemazione delle fasce frangivento dell’agro pontino), volte ad estendere ai procedimenti di concessione delle fasce frangivento le disposizioni in materia di beni contenute nel regolamento regionale di organizzazione degli uffici e dei servizi della Giunta regionale.</w:t>
      </w:r>
    </w:p>
    <w:p w:rsidR="007C1001" w:rsidRPr="005D3998" w:rsidRDefault="007C100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Nella stessa ottica di semplificazione e uniformità dei procedimenti, il comma 6 estende l’applicazione delle norme del regolamento regionale 30 aprile 2014, n. 10 (Disciplina delle procedure per il rilascio delle concessioni di pertinenze idrauliche, aree fluviali, spiagge lacuali e di superfici e pertinenze dei laghi) ai procedimenti di rilascio delle concessioni delle aree golenali site nel comune di Fiumicino-località Isola Sacra.</w:t>
      </w:r>
    </w:p>
    <w:p w:rsidR="00230461" w:rsidRPr="005D3998" w:rsidRDefault="00230461" w:rsidP="0034468D">
      <w:pPr>
        <w:spacing w:after="120" w:line="259" w:lineRule="auto"/>
        <w:jc w:val="both"/>
        <w:rPr>
          <w:rFonts w:ascii="Times New Roman" w:eastAsia="Calibri" w:hAnsi="Times New Roman" w:cs="Times New Roman"/>
          <w:sz w:val="28"/>
          <w:szCs w:val="28"/>
        </w:rPr>
      </w:pPr>
      <w:r w:rsidRPr="005D3998">
        <w:rPr>
          <w:rFonts w:ascii="Times New Roman" w:hAnsi="Times New Roman" w:cs="Times New Roman"/>
          <w:sz w:val="28"/>
          <w:szCs w:val="28"/>
        </w:rPr>
        <w:t>Ai fini della concentrazione delle funzioni in capo ad uno stesso livello di governo, i commi 7, 8</w:t>
      </w:r>
      <w:r w:rsidR="00197878" w:rsidRPr="005D3998">
        <w:rPr>
          <w:rFonts w:ascii="Times New Roman" w:hAnsi="Times New Roman" w:cs="Times New Roman"/>
          <w:sz w:val="28"/>
          <w:szCs w:val="28"/>
        </w:rPr>
        <w:t>,</w:t>
      </w:r>
      <w:r w:rsidRPr="005D3998">
        <w:rPr>
          <w:rFonts w:ascii="Times New Roman" w:hAnsi="Times New Roman" w:cs="Times New Roman"/>
          <w:sz w:val="28"/>
          <w:szCs w:val="28"/>
        </w:rPr>
        <w:t xml:space="preserve"> 9 </w:t>
      </w:r>
      <w:r w:rsidR="00197878" w:rsidRPr="005D3998">
        <w:rPr>
          <w:rFonts w:ascii="Times New Roman" w:hAnsi="Times New Roman" w:cs="Times New Roman"/>
          <w:sz w:val="28"/>
          <w:szCs w:val="28"/>
        </w:rPr>
        <w:t xml:space="preserve">e 10 </w:t>
      </w:r>
      <w:r w:rsidRPr="005D3998">
        <w:rPr>
          <w:rFonts w:ascii="Times New Roman" w:hAnsi="Times New Roman" w:cs="Times New Roman"/>
          <w:sz w:val="28"/>
          <w:szCs w:val="28"/>
        </w:rPr>
        <w:t xml:space="preserve">delegano ai comuni  </w:t>
      </w:r>
      <w:r w:rsidRPr="005D3998">
        <w:rPr>
          <w:rFonts w:ascii="Times New Roman" w:hAnsi="Times New Roman" w:cs="Times New Roman"/>
          <w:color w:val="000000"/>
          <w:sz w:val="28"/>
          <w:szCs w:val="28"/>
        </w:rPr>
        <w:t xml:space="preserve">le funzioni amministrative concernenti </w:t>
      </w:r>
      <w:r w:rsidRPr="005D3998">
        <w:rPr>
          <w:rFonts w:ascii="Times New Roman" w:eastAsia="Calibri" w:hAnsi="Times New Roman" w:cs="Times New Roman"/>
          <w:sz w:val="28"/>
          <w:szCs w:val="28"/>
        </w:rPr>
        <w:t>il rilascio delle concessioni dei beni del demanio marittimo e di zone del mare territoriale per finalità diverse da quelle di approvvigionamento di fonti di energia, ivi compresi i porti turistici, gli approdi turistici ed i punti di ormeggio, fatte salve le concessioni riservate allo Stato nonché le funzioni e i compiti amministrativi delegati ai comuni relativi alle aree del demanio marittimo per finalità turistico e ricreative. Il Comune può determinare oneri istruttori per i procedimenti relativi all’esercizio delle funzioni ad esso attribuite</w:t>
      </w:r>
      <w:r w:rsidR="00CE75ED" w:rsidRPr="005D3998">
        <w:rPr>
          <w:rFonts w:ascii="Times New Roman" w:eastAsia="Calibri" w:hAnsi="Times New Roman" w:cs="Times New Roman"/>
          <w:sz w:val="28"/>
          <w:szCs w:val="28"/>
        </w:rPr>
        <w:t>.</w:t>
      </w:r>
      <w:r w:rsidRPr="005D3998">
        <w:rPr>
          <w:rFonts w:ascii="Times New Roman" w:eastAsia="Calibri" w:hAnsi="Times New Roman" w:cs="Times New Roman"/>
          <w:sz w:val="28"/>
          <w:szCs w:val="28"/>
        </w:rPr>
        <w:t xml:space="preserve"> </w:t>
      </w:r>
      <w:r w:rsidR="00197878" w:rsidRPr="005D3998">
        <w:rPr>
          <w:rFonts w:ascii="Times New Roman" w:eastAsia="Calibri" w:hAnsi="Times New Roman" w:cs="Times New Roman"/>
          <w:sz w:val="28"/>
          <w:szCs w:val="28"/>
        </w:rPr>
        <w:t xml:space="preserve">Ai comuni sono delegate anche </w:t>
      </w:r>
      <w:r w:rsidRPr="005D3998">
        <w:rPr>
          <w:rFonts w:ascii="Times New Roman" w:eastAsia="Calibri" w:hAnsi="Times New Roman" w:cs="Times New Roman"/>
          <w:sz w:val="28"/>
          <w:szCs w:val="28"/>
        </w:rPr>
        <w:t>le funzioni amministrative concernenti la gestione delle infrastrutture insistenti sulle aree portuali lacuali</w:t>
      </w:r>
      <w:r w:rsidR="00197878" w:rsidRPr="005D3998">
        <w:rPr>
          <w:rFonts w:ascii="Times New Roman" w:eastAsia="Calibri" w:hAnsi="Times New Roman" w:cs="Times New Roman"/>
          <w:sz w:val="28"/>
          <w:szCs w:val="28"/>
        </w:rPr>
        <w:t xml:space="preserve">. </w:t>
      </w:r>
    </w:p>
    <w:p w:rsidR="00197878" w:rsidRPr="005D3998" w:rsidRDefault="00197878"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Per lo svolgimento delle funzioni di cui al comma 7, lettere b) e c), possono essere stipulati appositi protocolli di intesa tra la Regione e i comuni </w:t>
      </w:r>
      <w:r w:rsidRPr="005D3998">
        <w:rPr>
          <w:rFonts w:ascii="Times New Roman" w:hAnsi="Times New Roman" w:cs="Times New Roman"/>
          <w:sz w:val="28"/>
          <w:szCs w:val="28"/>
        </w:rPr>
        <w:lastRenderedPageBreak/>
        <w:t>interessati volti ad assegnare, su base volontaria, personale regionale in posizione di distacco, in un numero massimo di trenta unità.</w:t>
      </w:r>
    </w:p>
    <w:p w:rsidR="007C1001" w:rsidRPr="005D3998" w:rsidRDefault="007C1001"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Il comma 1</w:t>
      </w:r>
      <w:r w:rsidR="00197878" w:rsidRPr="005D3998">
        <w:rPr>
          <w:rFonts w:ascii="Times New Roman" w:hAnsi="Times New Roman" w:cs="Times New Roman"/>
          <w:sz w:val="28"/>
          <w:szCs w:val="28"/>
        </w:rPr>
        <w:t>1</w:t>
      </w:r>
      <w:r w:rsidRPr="005D3998">
        <w:rPr>
          <w:rFonts w:ascii="Times New Roman" w:hAnsi="Times New Roman" w:cs="Times New Roman"/>
          <w:sz w:val="28"/>
          <w:szCs w:val="28"/>
        </w:rPr>
        <w:t xml:space="preserve"> individua le risorse finanziarie per l’attuazione </w:t>
      </w:r>
      <w:r w:rsidR="00197878" w:rsidRPr="005D3998">
        <w:rPr>
          <w:rFonts w:ascii="Times New Roman" w:hAnsi="Times New Roman" w:cs="Times New Roman"/>
          <w:sz w:val="28"/>
          <w:szCs w:val="28"/>
        </w:rPr>
        <w:t>di tali</w:t>
      </w:r>
      <w:r w:rsidRPr="005D3998">
        <w:rPr>
          <w:rFonts w:ascii="Times New Roman" w:hAnsi="Times New Roman" w:cs="Times New Roman"/>
          <w:sz w:val="28"/>
          <w:szCs w:val="28"/>
        </w:rPr>
        <w:t xml:space="preserve"> deleghe. </w:t>
      </w:r>
    </w:p>
    <w:p w:rsidR="00C3310B" w:rsidRPr="005D3998" w:rsidRDefault="00C3310B" w:rsidP="0034468D">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Al comma 12 si amplia le possibilità d’intervento dei concessionari, prevedendo la facoltà di optare per l’acquisto del bene qualora la sua alienazione rientrasse nei programmi di dismissione dell’Ente.</w:t>
      </w:r>
    </w:p>
    <w:p w:rsidR="00C3310B" w:rsidRPr="005D3998" w:rsidRDefault="00C3310B" w:rsidP="00C3310B">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Al comma 13 si intende sanare le sperequazioni che si sono venute a creare tra coloro che hanno rinnovato i contratti di locazione agricoli, secondo i parametri previsti dalla presente legge e normative collegate, e coloro che non hanno provveduto. La finalità ultima è quella di uniformare il quantum dei canoni dovuti dai diversi soggetti.</w:t>
      </w:r>
    </w:p>
    <w:p w:rsidR="00C01F24" w:rsidRPr="005D3998" w:rsidRDefault="00C01F24" w:rsidP="0034468D">
      <w:pPr>
        <w:spacing w:after="120"/>
        <w:rPr>
          <w:rFonts w:ascii="Times New Roman" w:hAnsi="Times New Roman" w:cs="Times New Roman"/>
          <w:sz w:val="28"/>
          <w:szCs w:val="28"/>
        </w:rPr>
      </w:pPr>
    </w:p>
    <w:p w:rsidR="00CE09D7" w:rsidRPr="000F7002" w:rsidRDefault="00CE09D7"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3159BD" w:rsidRPr="000F7002">
        <w:rPr>
          <w:rFonts w:ascii="Times New Roman" w:hAnsi="Times New Roman" w:cs="Times New Roman"/>
          <w:b/>
          <w:sz w:val="28"/>
          <w:szCs w:val="28"/>
        </w:rPr>
        <w:t>8</w:t>
      </w:r>
    </w:p>
    <w:p w:rsidR="003159BD" w:rsidRPr="005D3998" w:rsidRDefault="003159BD" w:rsidP="0034468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Al fine di garantire la semplificazione e la riduzione dei tempi delle procedure di comunicazione, segnalazione e autorizzazione relative alle </w:t>
      </w:r>
      <w:r w:rsidRPr="000F7002">
        <w:rPr>
          <w:rFonts w:ascii="Times New Roman" w:hAnsi="Times New Roman" w:cs="Times New Roman"/>
          <w:b/>
          <w:sz w:val="28"/>
          <w:szCs w:val="28"/>
        </w:rPr>
        <w:t>attività rurali aziendali,</w:t>
      </w:r>
      <w:r w:rsidRPr="005D3998">
        <w:rPr>
          <w:rFonts w:ascii="Times New Roman" w:hAnsi="Times New Roman" w:cs="Times New Roman"/>
          <w:sz w:val="28"/>
          <w:szCs w:val="28"/>
        </w:rPr>
        <w:t xml:space="preserve"> con l’articolo 8 viene istituito, presso la Direzione regionale competente e presso le Aree decentrate dell’agricoltura (ADA), il Sistema autorizzativo per l’agricoltura finalizzato alla gestione delle informazioni prodotte, anche in modalità informatiche, </w:t>
      </w:r>
      <w:r w:rsidR="00FC2170" w:rsidRPr="005D3998">
        <w:rPr>
          <w:rFonts w:ascii="Times New Roman" w:hAnsi="Times New Roman" w:cs="Times New Roman"/>
          <w:sz w:val="28"/>
          <w:szCs w:val="28"/>
        </w:rPr>
        <w:t>utilizzate e condivise dalle amministrazioni competenti al rilascio di atti di assenso, pareri o nulla osta relativi alle procedure.</w:t>
      </w:r>
    </w:p>
    <w:p w:rsidR="00C658F6" w:rsidRPr="005D3998" w:rsidRDefault="00FC2170" w:rsidP="0034468D">
      <w:pPr>
        <w:spacing w:after="120" w:line="240" w:lineRule="auto"/>
        <w:jc w:val="both"/>
        <w:rPr>
          <w:rFonts w:ascii="Times New Roman" w:hAnsi="Times New Roman" w:cs="Times New Roman"/>
          <w:sz w:val="28"/>
          <w:szCs w:val="28"/>
          <w:highlight w:val="yellow"/>
        </w:rPr>
      </w:pPr>
      <w:r w:rsidRPr="005D3998">
        <w:rPr>
          <w:rFonts w:ascii="Times New Roman" w:hAnsi="Times New Roman" w:cs="Times New Roman"/>
          <w:sz w:val="28"/>
          <w:szCs w:val="28"/>
        </w:rPr>
        <w:t>Sulla base di accordi stipulati ai sensi dell’articolo 15, della legge 241/1990</w:t>
      </w:r>
      <w:r w:rsidR="00C658F6" w:rsidRPr="005D3998">
        <w:rPr>
          <w:rFonts w:ascii="Times New Roman" w:hAnsi="Times New Roman" w:cs="Times New Roman"/>
          <w:sz w:val="28"/>
          <w:szCs w:val="28"/>
        </w:rPr>
        <w:t>:</w:t>
      </w:r>
      <w:r w:rsidR="00C658F6" w:rsidRPr="005D3998">
        <w:rPr>
          <w:rFonts w:ascii="Times New Roman" w:hAnsi="Times New Roman" w:cs="Times New Roman"/>
          <w:sz w:val="28"/>
          <w:szCs w:val="28"/>
          <w:highlight w:val="yellow"/>
        </w:rPr>
        <w:t xml:space="preserve"> </w:t>
      </w:r>
    </w:p>
    <w:p w:rsidR="00A15C43" w:rsidRPr="005D3998" w:rsidRDefault="00C658F6" w:rsidP="008F36BA">
      <w:pPr>
        <w:numPr>
          <w:ilvl w:val="0"/>
          <w:numId w:val="18"/>
        </w:numPr>
        <w:spacing w:after="120" w:line="240" w:lineRule="auto"/>
        <w:ind w:left="714" w:hanging="357"/>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si </w:t>
      </w:r>
      <w:r w:rsidR="00A15C43" w:rsidRPr="005D3998">
        <w:rPr>
          <w:rFonts w:ascii="Times New Roman" w:eastAsia="Times New Roman" w:hAnsi="Times New Roman" w:cs="Times New Roman"/>
          <w:sz w:val="28"/>
          <w:szCs w:val="28"/>
          <w:lang w:eastAsia="it-IT"/>
        </w:rPr>
        <w:t>abilita la struttura regionale competente in agricoltura a stipulare protocolli di intesa con tutti gli enti che intervengono nei procedimenti di autorizzazione per le imprese agricole;</w:t>
      </w:r>
    </w:p>
    <w:p w:rsidR="00A15C43" w:rsidRPr="005D3998" w:rsidRDefault="00C658F6" w:rsidP="008F36BA">
      <w:pPr>
        <w:numPr>
          <w:ilvl w:val="0"/>
          <w:numId w:val="18"/>
        </w:numPr>
        <w:spacing w:after="120" w:line="240" w:lineRule="auto"/>
        <w:ind w:left="714" w:hanging="357"/>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si </w:t>
      </w:r>
      <w:r w:rsidR="00A15C43" w:rsidRPr="005D3998">
        <w:rPr>
          <w:rFonts w:ascii="Times New Roman" w:eastAsia="Times New Roman" w:hAnsi="Times New Roman" w:cs="Times New Roman"/>
          <w:sz w:val="28"/>
          <w:szCs w:val="28"/>
          <w:lang w:eastAsia="it-IT"/>
        </w:rPr>
        <w:t>consente alla struttura di sostituirsi, mediante accordi tra PA, ai Comuni che non sono in grado di rilasciare le autorizzazioni uniche per lo sviluppo di imprese agricole;</w:t>
      </w:r>
    </w:p>
    <w:p w:rsidR="00A15C43" w:rsidRPr="005D3998" w:rsidRDefault="00C658F6" w:rsidP="008F36BA">
      <w:pPr>
        <w:numPr>
          <w:ilvl w:val="0"/>
          <w:numId w:val="18"/>
        </w:numPr>
        <w:spacing w:after="120" w:line="240" w:lineRule="auto"/>
        <w:ind w:left="714" w:hanging="357"/>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si </w:t>
      </w:r>
      <w:r w:rsidR="00A15C43" w:rsidRPr="005D3998">
        <w:rPr>
          <w:rFonts w:ascii="Times New Roman" w:eastAsia="Times New Roman" w:hAnsi="Times New Roman" w:cs="Times New Roman"/>
          <w:sz w:val="28"/>
          <w:szCs w:val="28"/>
          <w:lang w:eastAsia="it-IT"/>
        </w:rPr>
        <w:t>codifica il ruolo della struttura quale rappresentante unico regionale (R.U.R.) nelle conferenze di servizi simultanee;</w:t>
      </w:r>
    </w:p>
    <w:p w:rsidR="00A15C43" w:rsidRPr="005D3998" w:rsidRDefault="00C658F6" w:rsidP="008F36BA">
      <w:pPr>
        <w:numPr>
          <w:ilvl w:val="0"/>
          <w:numId w:val="18"/>
        </w:numPr>
        <w:spacing w:after="120" w:line="240" w:lineRule="auto"/>
        <w:ind w:left="714" w:hanging="357"/>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si </w:t>
      </w:r>
      <w:r w:rsidR="00A15C43" w:rsidRPr="005D3998">
        <w:rPr>
          <w:rFonts w:ascii="Times New Roman" w:eastAsia="Times New Roman" w:hAnsi="Times New Roman" w:cs="Times New Roman"/>
          <w:sz w:val="28"/>
          <w:szCs w:val="28"/>
          <w:lang w:eastAsia="it-IT"/>
        </w:rPr>
        <w:t>consente alla struttura, sempre mediante accordi tra PA, di individuare tipologie di infrastrutture e opere da ricomprendere negli interventi di sviluppo agricolo;</w:t>
      </w:r>
    </w:p>
    <w:p w:rsidR="00A15C43" w:rsidRPr="005D3998" w:rsidRDefault="00C658F6" w:rsidP="008F36BA">
      <w:pPr>
        <w:numPr>
          <w:ilvl w:val="0"/>
          <w:numId w:val="18"/>
        </w:numPr>
        <w:spacing w:after="120" w:line="240" w:lineRule="auto"/>
        <w:ind w:left="714" w:hanging="357"/>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si </w:t>
      </w:r>
      <w:r w:rsidR="00A15C43" w:rsidRPr="005D3998">
        <w:rPr>
          <w:rFonts w:ascii="Times New Roman" w:eastAsia="Times New Roman" w:hAnsi="Times New Roman" w:cs="Times New Roman"/>
          <w:sz w:val="28"/>
          <w:szCs w:val="28"/>
          <w:lang w:eastAsia="it-IT"/>
        </w:rPr>
        <w:t>prevede una DGR con linee guida e modulistica standardizzata per ridurre i tempi dei procedimenti autorizzativi in agricoltura</w:t>
      </w:r>
      <w:r w:rsidR="00FC2170" w:rsidRPr="005D3998">
        <w:rPr>
          <w:rFonts w:ascii="Times New Roman" w:eastAsia="Times New Roman" w:hAnsi="Times New Roman" w:cs="Times New Roman"/>
          <w:sz w:val="28"/>
          <w:szCs w:val="28"/>
          <w:lang w:eastAsia="it-IT"/>
        </w:rPr>
        <w:t xml:space="preserve"> unitamente alla modulistica per la presentazione dell’istanza, le </w:t>
      </w:r>
      <w:r w:rsidR="00FC2170" w:rsidRPr="005D3998">
        <w:rPr>
          <w:rFonts w:ascii="Times New Roman" w:eastAsia="Times New Roman" w:hAnsi="Times New Roman" w:cs="Times New Roman"/>
          <w:sz w:val="28"/>
          <w:szCs w:val="28"/>
          <w:lang w:eastAsia="it-IT"/>
        </w:rPr>
        <w:lastRenderedPageBreak/>
        <w:t>modalità di verifica della documentazione e di verifica urbanistico-edilizia, l’avviso dell’avvio delle attività, lo schema di determinazione dirigenziale di conclusione del procedimento autorizzativo</w:t>
      </w:r>
      <w:r w:rsidR="00A15C43" w:rsidRPr="005D3998">
        <w:rPr>
          <w:rFonts w:ascii="Times New Roman" w:eastAsia="Times New Roman" w:hAnsi="Times New Roman" w:cs="Times New Roman"/>
          <w:sz w:val="28"/>
          <w:szCs w:val="28"/>
          <w:lang w:eastAsia="it-IT"/>
        </w:rPr>
        <w:t>;</w:t>
      </w:r>
    </w:p>
    <w:p w:rsidR="00FC2170" w:rsidRPr="005D3998" w:rsidRDefault="00FC2170" w:rsidP="00FC2170">
      <w:pPr>
        <w:numPr>
          <w:ilvl w:val="0"/>
          <w:numId w:val="18"/>
        </w:numPr>
        <w:spacing w:after="120" w:line="240"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è fatta salva, in ogni caso, la facoltà degli imprenditori agricoli di avvalersi delle modalità procedimentali di cui all’articolo 1, commi 134 e 135 della legge 12/2011</w:t>
      </w:r>
    </w:p>
    <w:p w:rsidR="00153737" w:rsidRPr="005D3998" w:rsidRDefault="00153737" w:rsidP="008F36BA">
      <w:pPr>
        <w:pStyle w:val="Paragrafoelenco"/>
        <w:spacing w:after="120"/>
        <w:contextualSpacing w:val="0"/>
        <w:jc w:val="both"/>
        <w:rPr>
          <w:rFonts w:ascii="Times New Roman" w:eastAsia="Times New Roman" w:hAnsi="Times New Roman" w:cs="Times New Roman"/>
          <w:sz w:val="28"/>
          <w:szCs w:val="28"/>
          <w:lang w:eastAsia="it-IT"/>
        </w:rPr>
      </w:pPr>
    </w:p>
    <w:p w:rsidR="0087193B" w:rsidRPr="000F7002" w:rsidRDefault="0087193B"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7D641A" w:rsidRPr="000F7002">
        <w:rPr>
          <w:rFonts w:ascii="Times New Roman" w:hAnsi="Times New Roman" w:cs="Times New Roman"/>
          <w:b/>
          <w:sz w:val="28"/>
          <w:szCs w:val="28"/>
        </w:rPr>
        <w:t>9</w:t>
      </w:r>
      <w:r w:rsidRPr="000F7002">
        <w:rPr>
          <w:rFonts w:ascii="Times New Roman" w:hAnsi="Times New Roman" w:cs="Times New Roman"/>
          <w:b/>
          <w:sz w:val="28"/>
          <w:szCs w:val="28"/>
        </w:rPr>
        <w:t xml:space="preserve"> </w:t>
      </w:r>
    </w:p>
    <w:p w:rsidR="0087193B" w:rsidRPr="000F7002" w:rsidRDefault="00060AF0" w:rsidP="0034468D">
      <w:pPr>
        <w:spacing w:after="120" w:line="259"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L’articolo </w:t>
      </w:r>
      <w:r w:rsidR="007D641A" w:rsidRPr="000F7002">
        <w:rPr>
          <w:rFonts w:ascii="Times New Roman" w:hAnsi="Times New Roman" w:cs="Times New Roman"/>
          <w:b/>
          <w:sz w:val="28"/>
          <w:szCs w:val="28"/>
        </w:rPr>
        <w:t>9</w:t>
      </w:r>
      <w:r w:rsidRPr="000F7002">
        <w:rPr>
          <w:rFonts w:ascii="Times New Roman" w:hAnsi="Times New Roman" w:cs="Times New Roman"/>
          <w:b/>
          <w:sz w:val="28"/>
          <w:szCs w:val="28"/>
        </w:rPr>
        <w:t xml:space="preserve"> introduce una serie di modifiche volte a semplificare diversi aspetti della legislazione regionale in materia di ambiente.</w:t>
      </w:r>
    </w:p>
    <w:p w:rsidR="0087193B" w:rsidRPr="005D3998" w:rsidRDefault="00060AF0" w:rsidP="00060AF0">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In particolare, si modifica la l</w:t>
      </w:r>
      <w:r w:rsidR="0087193B" w:rsidRPr="005D3998">
        <w:rPr>
          <w:rFonts w:ascii="Times New Roman" w:hAnsi="Times New Roman" w:cs="Times New Roman"/>
          <w:sz w:val="28"/>
          <w:szCs w:val="28"/>
        </w:rPr>
        <w:t xml:space="preserve">egge regionale 5 agosto 1998, n. 32, al fine di ridurre gli adempimenti a carico di quanti intendono esercitare la raccolta di funghi, </w:t>
      </w:r>
      <w:r w:rsidRPr="005D3998">
        <w:rPr>
          <w:rFonts w:ascii="Times New Roman" w:hAnsi="Times New Roman" w:cs="Times New Roman"/>
          <w:sz w:val="28"/>
          <w:szCs w:val="28"/>
        </w:rPr>
        <w:t>eliminando</w:t>
      </w:r>
      <w:r w:rsidR="0087193B" w:rsidRPr="005D3998">
        <w:rPr>
          <w:rFonts w:ascii="Times New Roman" w:hAnsi="Times New Roman" w:cs="Times New Roman"/>
          <w:sz w:val="28"/>
          <w:szCs w:val="28"/>
        </w:rPr>
        <w:t xml:space="preserve"> le procedure burocratiche attualmente necessarie per ottenere il tesserino in modo che per il raccoglitore sarà sufficiente esibire un documento di identità, la ricevuta del versamento e la copia dell’attestato di partecipazione ad un corso di formazione micologica della durata non inferiore alle 14</w:t>
      </w:r>
      <w:r w:rsidR="007D641A" w:rsidRPr="005D3998">
        <w:rPr>
          <w:rFonts w:ascii="Times New Roman" w:hAnsi="Times New Roman" w:cs="Times New Roman"/>
          <w:sz w:val="28"/>
          <w:szCs w:val="28"/>
        </w:rPr>
        <w:t xml:space="preserve"> ore</w:t>
      </w:r>
      <w:r w:rsidR="0087193B" w:rsidRPr="005D3998">
        <w:rPr>
          <w:rFonts w:ascii="Times New Roman" w:hAnsi="Times New Roman" w:cs="Times New Roman"/>
          <w:sz w:val="28"/>
          <w:szCs w:val="28"/>
        </w:rPr>
        <w:t xml:space="preserve">. </w:t>
      </w:r>
    </w:p>
    <w:p w:rsidR="0087193B" w:rsidRPr="005D3998" w:rsidRDefault="007D641A" w:rsidP="0034468D">
      <w:pPr>
        <w:spacing w:after="120" w:line="259" w:lineRule="auto"/>
        <w:jc w:val="both"/>
        <w:rPr>
          <w:rFonts w:ascii="Times New Roman" w:eastAsia="Arial" w:hAnsi="Times New Roman" w:cs="Times New Roman"/>
          <w:sz w:val="28"/>
          <w:szCs w:val="28"/>
        </w:rPr>
      </w:pPr>
      <w:r w:rsidRPr="005D3998">
        <w:rPr>
          <w:rFonts w:ascii="Times New Roman" w:hAnsi="Times New Roman" w:cs="Times New Roman"/>
          <w:sz w:val="28"/>
          <w:szCs w:val="28"/>
        </w:rPr>
        <w:t>S</w:t>
      </w:r>
      <w:r w:rsidR="00A9744D" w:rsidRPr="005D3998">
        <w:rPr>
          <w:rFonts w:ascii="Times New Roman" w:hAnsi="Times New Roman" w:cs="Times New Roman"/>
          <w:sz w:val="28"/>
          <w:szCs w:val="28"/>
        </w:rPr>
        <w:t xml:space="preserve">i precisa che la Giunta regionale è l’organo della Regione competente ai fini dell’approvazione dei piani dei Parchi nazionali, previsti dal comma 4 </w:t>
      </w:r>
      <w:r w:rsidR="00A9744D" w:rsidRPr="005D3998">
        <w:rPr>
          <w:rFonts w:ascii="Times New Roman" w:eastAsia="Arial" w:hAnsi="Times New Roman" w:cs="Times New Roman"/>
          <w:sz w:val="28"/>
          <w:szCs w:val="28"/>
        </w:rPr>
        <w:t>dell’articolo 12 della legge 6 dicembre 1991, n. 394.</w:t>
      </w:r>
    </w:p>
    <w:p w:rsidR="0087193B" w:rsidRPr="005D3998" w:rsidRDefault="00D84827" w:rsidP="00D84827">
      <w:pPr>
        <w:spacing w:after="120" w:line="259" w:lineRule="auto"/>
        <w:jc w:val="both"/>
        <w:rPr>
          <w:rFonts w:ascii="Times New Roman" w:hAnsi="Times New Roman" w:cs="Times New Roman"/>
          <w:sz w:val="28"/>
          <w:szCs w:val="28"/>
        </w:rPr>
      </w:pPr>
      <w:r w:rsidRPr="005D3998">
        <w:rPr>
          <w:rFonts w:ascii="Times New Roman" w:eastAsia="Arial" w:hAnsi="Times New Roman" w:cs="Times New Roman"/>
          <w:sz w:val="28"/>
          <w:szCs w:val="28"/>
        </w:rPr>
        <w:t xml:space="preserve">Al comma </w:t>
      </w:r>
      <w:r w:rsidR="007D641A" w:rsidRPr="005D3998">
        <w:rPr>
          <w:rFonts w:ascii="Times New Roman" w:eastAsia="Arial" w:hAnsi="Times New Roman" w:cs="Times New Roman"/>
          <w:sz w:val="28"/>
          <w:szCs w:val="28"/>
        </w:rPr>
        <w:t>5</w:t>
      </w:r>
      <w:r w:rsidRPr="005D3998">
        <w:rPr>
          <w:rFonts w:ascii="Times New Roman" w:hAnsi="Times New Roman" w:cs="Times New Roman"/>
          <w:sz w:val="28"/>
          <w:szCs w:val="28"/>
        </w:rPr>
        <w:t xml:space="preserve"> si dispone una modifica de</w:t>
      </w:r>
      <w:r w:rsidR="0087193B" w:rsidRPr="005D3998">
        <w:rPr>
          <w:rFonts w:ascii="Times New Roman" w:hAnsi="Times New Roman" w:cs="Times New Roman"/>
          <w:sz w:val="28"/>
          <w:szCs w:val="28"/>
        </w:rPr>
        <w:t>ll’articolo 5 della legge regionale n. 17 del 1995, consente</w:t>
      </w:r>
      <w:r w:rsidRPr="005D3998">
        <w:rPr>
          <w:rFonts w:ascii="Times New Roman" w:hAnsi="Times New Roman" w:cs="Times New Roman"/>
          <w:sz w:val="28"/>
          <w:szCs w:val="28"/>
        </w:rPr>
        <w:t>ndo</w:t>
      </w:r>
      <w:r w:rsidR="0087193B" w:rsidRPr="005D3998">
        <w:rPr>
          <w:rFonts w:ascii="Times New Roman" w:hAnsi="Times New Roman" w:cs="Times New Roman"/>
          <w:sz w:val="28"/>
          <w:szCs w:val="28"/>
        </w:rPr>
        <w:t xml:space="preserve"> ai cacciatori del Lazio di utilizzare per la caccia da appostamento agli uccelli acquatici e al colombaccio, al pari dei cacciatori delle altre regioni italiane, come richiami vivi, i derivati domestici del germano reale e il piccione selvatico (Columba Livia) </w:t>
      </w:r>
      <w:r w:rsidR="007D641A" w:rsidRPr="005D3998">
        <w:rPr>
          <w:rFonts w:ascii="Times New Roman" w:hAnsi="Times New Roman" w:cs="Times New Roman"/>
          <w:sz w:val="28"/>
          <w:szCs w:val="28"/>
        </w:rPr>
        <w:t>dandone comunicazione scritta all’Area Decentrata Agricoltura competente per territorio</w:t>
      </w:r>
      <w:r w:rsidR="0087193B" w:rsidRPr="005D3998">
        <w:rPr>
          <w:rFonts w:ascii="Times New Roman" w:hAnsi="Times New Roman" w:cs="Times New Roman"/>
          <w:sz w:val="28"/>
          <w:szCs w:val="28"/>
        </w:rPr>
        <w:t>.</w:t>
      </w:r>
      <w:r w:rsidRPr="005D3998">
        <w:rPr>
          <w:rFonts w:ascii="Times New Roman" w:hAnsi="Times New Roman" w:cs="Times New Roman"/>
          <w:sz w:val="28"/>
          <w:szCs w:val="28"/>
        </w:rPr>
        <w:t xml:space="preserve"> </w:t>
      </w:r>
      <w:r w:rsidR="0087193B" w:rsidRPr="005D3998">
        <w:rPr>
          <w:rFonts w:ascii="Times New Roman" w:hAnsi="Times New Roman" w:cs="Times New Roman"/>
          <w:sz w:val="28"/>
          <w:szCs w:val="28"/>
        </w:rPr>
        <w:t>La norma che si propone si allinea agli orientamenti del Ministero per le Politiche Agricole alimentari e Forestali nonché al parere rilasciato dall’Ufficio legislativo del Ministero Ambiente della Tutela del Territorio e del Mare in merito al divieto dell’utilizzo del piccione torraiolo quale richiamo vivo per la caccia da appostamento.</w:t>
      </w:r>
    </w:p>
    <w:p w:rsidR="00C63FD0" w:rsidRPr="005D3998" w:rsidRDefault="00C63FD0" w:rsidP="00C63FD0">
      <w:pPr>
        <w:spacing w:after="120" w:line="259" w:lineRule="auto"/>
        <w:jc w:val="both"/>
        <w:rPr>
          <w:rFonts w:ascii="Times New Roman" w:eastAsia="Arial" w:hAnsi="Times New Roman" w:cs="Times New Roman"/>
          <w:sz w:val="28"/>
          <w:szCs w:val="28"/>
        </w:rPr>
      </w:pPr>
      <w:r w:rsidRPr="005D3998">
        <w:rPr>
          <w:rFonts w:ascii="Times New Roman" w:eastAsia="Arial" w:hAnsi="Times New Roman" w:cs="Times New Roman"/>
          <w:sz w:val="28"/>
          <w:szCs w:val="28"/>
        </w:rPr>
        <w:t>Inoltre, si interviene in tema di prelievo venatorio</w:t>
      </w:r>
      <w:r w:rsidR="00E776E5" w:rsidRPr="005D3998">
        <w:rPr>
          <w:rFonts w:ascii="Times New Roman" w:eastAsia="Arial" w:hAnsi="Times New Roman" w:cs="Times New Roman"/>
          <w:sz w:val="28"/>
          <w:szCs w:val="28"/>
        </w:rPr>
        <w:t xml:space="preserve"> (comma 6)</w:t>
      </w:r>
      <w:r w:rsidRPr="005D3998">
        <w:rPr>
          <w:rFonts w:ascii="Times New Roman" w:eastAsia="Arial" w:hAnsi="Times New Roman" w:cs="Times New Roman"/>
          <w:sz w:val="28"/>
          <w:szCs w:val="28"/>
        </w:rPr>
        <w:t xml:space="preserve">, specificando che nelle aree contigue del Parchi nazionali, qualora il carico venatorio stabilito non venga raggiunto con i soggetti residenti nei comuni laziali del parco e dell’area contigua, potranno essere ammessi anche i cacciatori aventi </w:t>
      </w:r>
      <w:r w:rsidRPr="005D3998">
        <w:rPr>
          <w:rFonts w:ascii="Times New Roman" w:eastAsia="Arial" w:hAnsi="Times New Roman" w:cs="Times New Roman"/>
          <w:sz w:val="28"/>
          <w:szCs w:val="28"/>
        </w:rPr>
        <w:lastRenderedPageBreak/>
        <w:t>diritto all’accesso all’ambito territoriale di caccia su cui insiste l’area contigua.</w:t>
      </w:r>
    </w:p>
    <w:p w:rsidR="00CE09D7" w:rsidRPr="005D3998" w:rsidRDefault="00C63FD0"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Il comma 8 riorganizza</w:t>
      </w:r>
      <w:r w:rsidR="002F2139" w:rsidRPr="005D3998">
        <w:rPr>
          <w:rFonts w:ascii="Times New Roman" w:eastAsia="Times New Roman" w:hAnsi="Times New Roman" w:cs="Times New Roman"/>
          <w:sz w:val="28"/>
          <w:szCs w:val="28"/>
          <w:lang w:eastAsia="it-IT"/>
        </w:rPr>
        <w:t xml:space="preserve"> l’assetto delle competenze in materia di foreste, riservando alla Regione la gestione delle foreste del patrimonio regionale, che potrà essere effettuata in via diretta dalla Regione stessa o, tramite convenzioni, da altri enti, sulla base di una proposta progettuale di gestione delle risorse forestali.</w:t>
      </w:r>
    </w:p>
    <w:p w:rsidR="00971210" w:rsidRPr="005D3998" w:rsidRDefault="00971210"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La Regione promuove, favorendo la costituzione e le attività di forme di gestione associata, gli interventi di valorizzazione del patrimonio e delle filiere castanicole da legno.</w:t>
      </w:r>
    </w:p>
    <w:p w:rsidR="00971210" w:rsidRPr="005D3998" w:rsidRDefault="00D51CCB"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Nelle zone sprovviste della rete fognaria pubblica, per lo scarico delle acque reflue, provenienti da insediamenti inferiori a 50 abitanti equivalenti, oltre ai sistemi di evapotraspirazione e subirrigazione, sono consentiti sistemi di depurazione autonomi</w:t>
      </w:r>
      <w:r w:rsidR="00E776E5" w:rsidRPr="005D3998">
        <w:rPr>
          <w:rFonts w:ascii="Times New Roman" w:eastAsia="Times New Roman" w:hAnsi="Times New Roman" w:cs="Times New Roman"/>
          <w:sz w:val="28"/>
          <w:szCs w:val="28"/>
          <w:lang w:eastAsia="it-IT"/>
        </w:rPr>
        <w:t xml:space="preserve"> (comma 10)</w:t>
      </w:r>
      <w:r w:rsidRPr="005D3998">
        <w:rPr>
          <w:rFonts w:ascii="Times New Roman" w:eastAsia="Times New Roman" w:hAnsi="Times New Roman" w:cs="Times New Roman"/>
          <w:sz w:val="28"/>
          <w:szCs w:val="28"/>
          <w:lang w:eastAsia="it-IT"/>
        </w:rPr>
        <w:t>.</w:t>
      </w:r>
    </w:p>
    <w:p w:rsidR="00D84827" w:rsidRPr="005D3998" w:rsidRDefault="00E776E5"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Al comma 11 s</w:t>
      </w:r>
      <w:r w:rsidR="00C63FD0" w:rsidRPr="005D3998">
        <w:rPr>
          <w:rFonts w:ascii="Times New Roman" w:eastAsia="Times New Roman" w:hAnsi="Times New Roman" w:cs="Times New Roman"/>
          <w:sz w:val="28"/>
          <w:szCs w:val="28"/>
          <w:lang w:eastAsia="it-IT"/>
        </w:rPr>
        <w:t xml:space="preserve">i </w:t>
      </w:r>
      <w:r w:rsidR="00D84827" w:rsidRPr="005D3998">
        <w:rPr>
          <w:rFonts w:ascii="Times New Roman" w:eastAsia="Times New Roman" w:hAnsi="Times New Roman" w:cs="Times New Roman"/>
          <w:sz w:val="28"/>
          <w:szCs w:val="28"/>
          <w:lang w:eastAsia="it-IT"/>
        </w:rPr>
        <w:t xml:space="preserve">introduce la possibilità di estendere </w:t>
      </w:r>
      <w:r w:rsidR="006646AF" w:rsidRPr="005D3998">
        <w:rPr>
          <w:rFonts w:ascii="Times New Roman" w:eastAsia="Times New Roman" w:hAnsi="Times New Roman" w:cs="Times New Roman"/>
          <w:sz w:val="28"/>
          <w:szCs w:val="28"/>
          <w:lang w:eastAsia="it-IT"/>
        </w:rPr>
        <w:t xml:space="preserve">di ulteriori tre mesi </w:t>
      </w:r>
      <w:r w:rsidR="00D84827" w:rsidRPr="005D3998">
        <w:rPr>
          <w:rFonts w:ascii="Times New Roman" w:eastAsia="Times New Roman" w:hAnsi="Times New Roman" w:cs="Times New Roman"/>
          <w:sz w:val="28"/>
          <w:szCs w:val="28"/>
          <w:lang w:eastAsia="it-IT"/>
        </w:rPr>
        <w:t>il termine di sei mesi previsto per il mantenimento di strutture amovibili all’interno delle aree naturali protette, previo accordo con l’ente di gestione e nel rispetto dei vincoli di tutela ambientale previsti.</w:t>
      </w:r>
    </w:p>
    <w:p w:rsidR="00D51CCB" w:rsidRPr="005D3998" w:rsidRDefault="00A57C50"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Inoltre, n</w:t>
      </w:r>
      <w:r w:rsidR="00D51CCB" w:rsidRPr="005D3998">
        <w:rPr>
          <w:rFonts w:ascii="Times New Roman" w:eastAsia="Times New Roman" w:hAnsi="Times New Roman" w:cs="Times New Roman"/>
          <w:sz w:val="28"/>
          <w:szCs w:val="28"/>
          <w:lang w:eastAsia="it-IT"/>
        </w:rPr>
        <w:t>elle aree naturali protette, ove non sia prevista la distinzione tra zona A e zona B, si applicano le misure di salvaguardia previste per la zona A.</w:t>
      </w:r>
    </w:p>
    <w:p w:rsidR="00D51CCB" w:rsidRPr="005D3998" w:rsidRDefault="00A57C50"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Al comma 13 v</w:t>
      </w:r>
      <w:r w:rsidR="00D51CCB" w:rsidRPr="005D3998">
        <w:rPr>
          <w:rFonts w:ascii="Times New Roman" w:eastAsia="Times New Roman" w:hAnsi="Times New Roman" w:cs="Times New Roman"/>
          <w:sz w:val="28"/>
          <w:szCs w:val="28"/>
          <w:lang w:eastAsia="it-IT"/>
        </w:rPr>
        <w:t>iene prorogato di sei mesi il termine previsto dal comma 4, dell’art. 31 della l.r. 7/2018 riguardante la sospensione dei procedimenti amministrativi relativi alle attività estrattive oggetto della verifica straordinaria di cui al comma 3 dello stesso articolo e ricadenti nei poli estrattivi ricompresi nei distretti di cui alla l.r. 36/2001.</w:t>
      </w:r>
    </w:p>
    <w:p w:rsidR="00435329" w:rsidRPr="005D3998" w:rsidRDefault="00435329" w:rsidP="002F213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Al comma 14, si prevedono interventi in materia di apicoltura per agevolare l’attivazione di biomonitoraggi ambientali attraverso le api.</w:t>
      </w:r>
    </w:p>
    <w:p w:rsidR="00435329" w:rsidRPr="005D3998" w:rsidRDefault="00435329" w:rsidP="00435329">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Al comma 15 viene modificato il perimetro del Parco dell’Appia Antica. Si tratta di un adeguamento minimo del perimetro nel pieno rispetto di quanto previsto dal documento di indirizzo redatto in occasione di un recente ampliamento del Parco.</w:t>
      </w:r>
    </w:p>
    <w:p w:rsidR="008F36BA" w:rsidRPr="005D3998" w:rsidRDefault="008F36BA" w:rsidP="0034468D">
      <w:pPr>
        <w:spacing w:after="120"/>
        <w:rPr>
          <w:rFonts w:ascii="Times New Roman" w:hAnsi="Times New Roman" w:cs="Times New Roman"/>
          <w:sz w:val="28"/>
          <w:szCs w:val="28"/>
        </w:rPr>
      </w:pPr>
    </w:p>
    <w:p w:rsidR="00834662" w:rsidRPr="000F7002" w:rsidRDefault="00834662" w:rsidP="0034468D">
      <w:pPr>
        <w:spacing w:after="120"/>
        <w:rPr>
          <w:rFonts w:ascii="Times New Roman" w:hAnsi="Times New Roman" w:cs="Times New Roman"/>
          <w:b/>
          <w:sz w:val="28"/>
          <w:szCs w:val="28"/>
        </w:rPr>
      </w:pPr>
      <w:r w:rsidRPr="000F7002">
        <w:rPr>
          <w:rFonts w:ascii="Times New Roman" w:hAnsi="Times New Roman" w:cs="Times New Roman"/>
          <w:b/>
          <w:sz w:val="28"/>
          <w:szCs w:val="28"/>
        </w:rPr>
        <w:lastRenderedPageBreak/>
        <w:t xml:space="preserve">Art. </w:t>
      </w:r>
      <w:r w:rsidR="00D43093" w:rsidRPr="000F7002">
        <w:rPr>
          <w:rFonts w:ascii="Times New Roman" w:hAnsi="Times New Roman" w:cs="Times New Roman"/>
          <w:b/>
          <w:sz w:val="28"/>
          <w:szCs w:val="28"/>
        </w:rPr>
        <w:t>10</w:t>
      </w:r>
      <w:r w:rsidRPr="000F7002">
        <w:rPr>
          <w:rFonts w:ascii="Times New Roman" w:hAnsi="Times New Roman" w:cs="Times New Roman"/>
          <w:b/>
          <w:sz w:val="28"/>
          <w:szCs w:val="28"/>
        </w:rPr>
        <w:t xml:space="preserve"> </w:t>
      </w:r>
    </w:p>
    <w:p w:rsidR="0087193B" w:rsidRPr="000F7002" w:rsidRDefault="00AA54B0" w:rsidP="0034468D">
      <w:pPr>
        <w:spacing w:after="120"/>
        <w:rPr>
          <w:rFonts w:ascii="Times New Roman" w:hAnsi="Times New Roman" w:cs="Times New Roman"/>
          <w:b/>
          <w:sz w:val="28"/>
          <w:szCs w:val="28"/>
        </w:rPr>
      </w:pPr>
      <w:r w:rsidRPr="000F7002">
        <w:rPr>
          <w:rFonts w:ascii="Times New Roman" w:hAnsi="Times New Roman" w:cs="Times New Roman"/>
          <w:b/>
          <w:sz w:val="28"/>
          <w:szCs w:val="28"/>
        </w:rPr>
        <w:t>Nelle more dell’approvazione del piano energetico regionale, con l’articolo 1</w:t>
      </w:r>
      <w:r w:rsidR="00D43093" w:rsidRPr="000F7002">
        <w:rPr>
          <w:rFonts w:ascii="Times New Roman" w:hAnsi="Times New Roman" w:cs="Times New Roman"/>
          <w:b/>
          <w:sz w:val="28"/>
          <w:szCs w:val="28"/>
        </w:rPr>
        <w:t>0</w:t>
      </w:r>
      <w:r w:rsidRPr="000F7002">
        <w:rPr>
          <w:rFonts w:ascii="Times New Roman" w:hAnsi="Times New Roman" w:cs="Times New Roman"/>
          <w:b/>
          <w:sz w:val="28"/>
          <w:szCs w:val="28"/>
        </w:rPr>
        <w:t xml:space="preserve"> si introducono alcune misure in materia di fonti energetiche rinnovabili.</w:t>
      </w:r>
    </w:p>
    <w:p w:rsidR="00AA54B0" w:rsidRPr="005D3998" w:rsidRDefault="00833601" w:rsidP="0034468D">
      <w:pPr>
        <w:autoSpaceDE w:val="0"/>
        <w:autoSpaceDN w:val="0"/>
        <w:adjustRightInd w:val="0"/>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w:t>
      </w:r>
      <w:r w:rsidR="00715DCB" w:rsidRPr="005D3998">
        <w:rPr>
          <w:rFonts w:ascii="Times New Roman" w:hAnsi="Times New Roman" w:cs="Times New Roman"/>
          <w:sz w:val="28"/>
          <w:szCs w:val="28"/>
        </w:rPr>
        <w:t xml:space="preserve"> commi 1 e 2 </w:t>
      </w:r>
      <w:r w:rsidR="00AA54B0" w:rsidRPr="005D3998">
        <w:rPr>
          <w:rFonts w:ascii="Times New Roman" w:hAnsi="Times New Roman" w:cs="Times New Roman"/>
          <w:sz w:val="28"/>
          <w:szCs w:val="28"/>
        </w:rPr>
        <w:t>disciplinano l’istituzione di comunità energetiche, senza finalità di lucro, al fine di incentivare la produzione e l’autoconsumo di energie prodotte da fonti rinnovabili, di sperimentare e promuovere nuove forme di efficientamento dei consumi energetici nonché di favorire l’educazione energetica nelle comunità locali.</w:t>
      </w:r>
    </w:p>
    <w:p w:rsidR="00AA54B0" w:rsidRPr="005D3998" w:rsidRDefault="00AA54B0" w:rsidP="0034468D">
      <w:pPr>
        <w:autoSpaceDE w:val="0"/>
        <w:autoSpaceDN w:val="0"/>
        <w:adjustRightInd w:val="0"/>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Le comunità energetiche sono istituite su iniziativa di comuni o di unioni di comuni, mediante l’adozione di uno specifico protocollo d’intesa, cui possono aderire soggetti pubblici e privati, redatto in conformità alla disciplina demandata alle previsioni regolamentari che la Giunta regionale dovrà adottare entro centoventi giorni dalla data di entrata in vigore della presente legge</w:t>
      </w:r>
      <w:r w:rsidR="00715DCB" w:rsidRPr="005D3998">
        <w:rPr>
          <w:rFonts w:ascii="Times New Roman" w:hAnsi="Times New Roman" w:cs="Times New Roman"/>
          <w:sz w:val="28"/>
          <w:szCs w:val="28"/>
        </w:rPr>
        <w:t xml:space="preserve"> sentita la commissione consiliare competente</w:t>
      </w:r>
      <w:r w:rsidRPr="005D3998">
        <w:rPr>
          <w:rFonts w:ascii="Times New Roman" w:hAnsi="Times New Roman" w:cs="Times New Roman"/>
          <w:sz w:val="28"/>
          <w:szCs w:val="28"/>
        </w:rPr>
        <w:t>.</w:t>
      </w:r>
    </w:p>
    <w:p w:rsidR="00715DCB" w:rsidRPr="005D3998" w:rsidRDefault="00715DCB" w:rsidP="0034468D">
      <w:pPr>
        <w:autoSpaceDE w:val="0"/>
        <w:autoSpaceDN w:val="0"/>
        <w:adjustRightInd w:val="0"/>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 commi 3 e 4 individuano il tipo di attività che le comunità energetiche sono tenute a realizzare, l’obiettivo primario (autoconsumo dell’energia rinnovabile prodotta dai membri delle comunità), l’immagazzinamento dell’energia prodotta, la riduzione dei consumi e delle tariffe di fornitura.</w:t>
      </w:r>
    </w:p>
    <w:p w:rsidR="00715DCB" w:rsidRPr="005D3998" w:rsidRDefault="00715DCB" w:rsidP="0034468D">
      <w:pPr>
        <w:autoSpaceDE w:val="0"/>
        <w:autoSpaceDN w:val="0"/>
        <w:adjustRightInd w:val="0"/>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Le comunità energetiche possono stipulare convenzioni con l’Autorità di regolazione per energia reti e ambiente (ARERA), redigono un bilancio energetico entro sei mesi dalla costituzione e un documento strategico entro dodici mesi.</w:t>
      </w:r>
    </w:p>
    <w:p w:rsidR="0087193B" w:rsidRPr="005D3998" w:rsidRDefault="0087193B" w:rsidP="0034468D">
      <w:pPr>
        <w:spacing w:after="120"/>
        <w:rPr>
          <w:rFonts w:ascii="Times New Roman" w:hAnsi="Times New Roman" w:cs="Times New Roman"/>
          <w:sz w:val="28"/>
          <w:szCs w:val="28"/>
        </w:rPr>
      </w:pPr>
    </w:p>
    <w:p w:rsidR="00A71C54" w:rsidRPr="000F7002" w:rsidRDefault="00A71C54" w:rsidP="0034468D">
      <w:pPr>
        <w:spacing w:after="120" w:line="257" w:lineRule="auto"/>
        <w:jc w:val="both"/>
        <w:rPr>
          <w:rFonts w:ascii="Times New Roman" w:eastAsia="Times New Roman" w:hAnsi="Times New Roman" w:cs="Times New Roman"/>
          <w:b/>
          <w:sz w:val="28"/>
          <w:szCs w:val="28"/>
          <w:lang w:eastAsia="it-IT"/>
        </w:rPr>
      </w:pPr>
      <w:r w:rsidRPr="000F7002">
        <w:rPr>
          <w:rFonts w:ascii="Times New Roman" w:eastAsia="Times New Roman" w:hAnsi="Times New Roman" w:cs="Times New Roman"/>
          <w:b/>
          <w:sz w:val="28"/>
          <w:szCs w:val="28"/>
          <w:lang w:eastAsia="it-IT"/>
        </w:rPr>
        <w:t>Art. 1</w:t>
      </w:r>
      <w:r w:rsidR="00FC0587" w:rsidRPr="000F7002">
        <w:rPr>
          <w:rFonts w:ascii="Times New Roman" w:eastAsia="Times New Roman" w:hAnsi="Times New Roman" w:cs="Times New Roman"/>
          <w:b/>
          <w:sz w:val="28"/>
          <w:szCs w:val="28"/>
          <w:lang w:eastAsia="it-IT"/>
        </w:rPr>
        <w:t>1</w:t>
      </w:r>
      <w:r w:rsidRPr="000F7002">
        <w:rPr>
          <w:rFonts w:ascii="Times New Roman" w:eastAsia="Times New Roman" w:hAnsi="Times New Roman" w:cs="Times New Roman"/>
          <w:b/>
          <w:sz w:val="28"/>
          <w:szCs w:val="28"/>
          <w:lang w:eastAsia="it-IT"/>
        </w:rPr>
        <w:t xml:space="preserve"> </w:t>
      </w:r>
    </w:p>
    <w:p w:rsidR="00A71C54" w:rsidRPr="000F7002" w:rsidRDefault="00A71C54" w:rsidP="0034468D">
      <w:pPr>
        <w:spacing w:after="120" w:line="257" w:lineRule="auto"/>
        <w:jc w:val="both"/>
        <w:rPr>
          <w:rFonts w:ascii="Times New Roman" w:eastAsia="Times New Roman" w:hAnsi="Times New Roman" w:cs="Times New Roman"/>
          <w:b/>
          <w:sz w:val="28"/>
          <w:szCs w:val="28"/>
          <w:lang w:eastAsia="it-IT"/>
        </w:rPr>
      </w:pPr>
      <w:r w:rsidRPr="005D3998">
        <w:rPr>
          <w:rFonts w:ascii="Times New Roman" w:eastAsia="Times New Roman" w:hAnsi="Times New Roman" w:cs="Times New Roman"/>
          <w:sz w:val="28"/>
          <w:szCs w:val="28"/>
          <w:lang w:eastAsia="it-IT"/>
        </w:rPr>
        <w:t xml:space="preserve">L’articolo </w:t>
      </w:r>
      <w:r w:rsidR="00ED64C0" w:rsidRPr="005D3998">
        <w:rPr>
          <w:rFonts w:ascii="Times New Roman" w:eastAsia="Times New Roman" w:hAnsi="Times New Roman" w:cs="Times New Roman"/>
          <w:sz w:val="28"/>
          <w:szCs w:val="28"/>
          <w:lang w:eastAsia="it-IT"/>
        </w:rPr>
        <w:t>1</w:t>
      </w:r>
      <w:r w:rsidR="00FC0587" w:rsidRPr="005D3998">
        <w:rPr>
          <w:rFonts w:ascii="Times New Roman" w:eastAsia="Times New Roman" w:hAnsi="Times New Roman" w:cs="Times New Roman"/>
          <w:sz w:val="28"/>
          <w:szCs w:val="28"/>
          <w:lang w:eastAsia="it-IT"/>
        </w:rPr>
        <w:t>1</w:t>
      </w:r>
      <w:r w:rsidR="00ED64C0" w:rsidRPr="005D3998">
        <w:rPr>
          <w:rFonts w:ascii="Times New Roman" w:eastAsia="Times New Roman" w:hAnsi="Times New Roman" w:cs="Times New Roman"/>
          <w:sz w:val="28"/>
          <w:szCs w:val="28"/>
          <w:lang w:eastAsia="it-IT"/>
        </w:rPr>
        <w:t xml:space="preserve"> </w:t>
      </w:r>
      <w:r w:rsidRPr="005D3998">
        <w:rPr>
          <w:rFonts w:ascii="Times New Roman" w:eastAsia="Times New Roman" w:hAnsi="Times New Roman" w:cs="Times New Roman"/>
          <w:sz w:val="28"/>
          <w:szCs w:val="28"/>
          <w:lang w:eastAsia="it-IT"/>
        </w:rPr>
        <w:t xml:space="preserve">propone </w:t>
      </w:r>
      <w:r w:rsidRPr="000F7002">
        <w:rPr>
          <w:rFonts w:ascii="Times New Roman" w:eastAsia="Times New Roman" w:hAnsi="Times New Roman" w:cs="Times New Roman"/>
          <w:b/>
          <w:sz w:val="28"/>
          <w:szCs w:val="28"/>
          <w:lang w:eastAsia="it-IT"/>
        </w:rPr>
        <w:t>modifiche alla l.r. 15/2014 in materia di promozione e sost</w:t>
      </w:r>
      <w:r w:rsidR="00944704" w:rsidRPr="000F7002">
        <w:rPr>
          <w:rFonts w:ascii="Times New Roman" w:eastAsia="Times New Roman" w:hAnsi="Times New Roman" w:cs="Times New Roman"/>
          <w:b/>
          <w:sz w:val="28"/>
          <w:szCs w:val="28"/>
          <w:lang w:eastAsia="it-IT"/>
        </w:rPr>
        <w:t>egno dello spettacolo dal vivo.</w:t>
      </w:r>
    </w:p>
    <w:p w:rsidR="00944704" w:rsidRPr="005D3998" w:rsidRDefault="00A71C54" w:rsidP="0034468D">
      <w:pPr>
        <w:spacing w:after="120" w:line="257"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In particolare, al comma 1,</w:t>
      </w:r>
      <w:r w:rsidR="00FC0587" w:rsidRPr="005D3998">
        <w:rPr>
          <w:rFonts w:ascii="Times New Roman" w:eastAsia="Times New Roman" w:hAnsi="Times New Roman" w:cs="Times New Roman"/>
          <w:sz w:val="28"/>
          <w:szCs w:val="28"/>
          <w:lang w:eastAsia="it-IT"/>
        </w:rPr>
        <w:t xml:space="preserve"> </w:t>
      </w:r>
      <w:r w:rsidRPr="005D3998">
        <w:rPr>
          <w:rFonts w:ascii="Times New Roman" w:eastAsia="Times New Roman" w:hAnsi="Times New Roman" w:cs="Times New Roman"/>
          <w:sz w:val="28"/>
          <w:szCs w:val="28"/>
          <w:lang w:eastAsia="it-IT"/>
        </w:rPr>
        <w:t>lettera a) dell’articolo si prevedono modifiche al comma 2 dell’articolo 3 della citata legge regionale, tramite l’inserimento delle lettere c</w:t>
      </w:r>
      <w:r w:rsidR="00FC0587" w:rsidRPr="005D3998">
        <w:rPr>
          <w:rFonts w:ascii="Times New Roman" w:eastAsia="Times New Roman" w:hAnsi="Times New Roman" w:cs="Times New Roman"/>
          <w:sz w:val="28"/>
          <w:szCs w:val="28"/>
          <w:lang w:eastAsia="it-IT"/>
        </w:rPr>
        <w:t>-</w:t>
      </w:r>
      <w:r w:rsidRPr="005D3998">
        <w:rPr>
          <w:rFonts w:ascii="Times New Roman" w:eastAsia="Times New Roman" w:hAnsi="Times New Roman" w:cs="Times New Roman"/>
          <w:sz w:val="28"/>
          <w:szCs w:val="28"/>
          <w:lang w:eastAsia="it-IT"/>
        </w:rPr>
        <w:t>bis), d</w:t>
      </w:r>
      <w:r w:rsidR="00FC0587" w:rsidRPr="005D3998">
        <w:rPr>
          <w:rFonts w:ascii="Times New Roman" w:eastAsia="Times New Roman" w:hAnsi="Times New Roman" w:cs="Times New Roman"/>
          <w:sz w:val="28"/>
          <w:szCs w:val="28"/>
          <w:lang w:eastAsia="it-IT"/>
        </w:rPr>
        <w:t>-</w:t>
      </w:r>
      <w:r w:rsidRPr="005D3998">
        <w:rPr>
          <w:rFonts w:ascii="Times New Roman" w:eastAsia="Times New Roman" w:hAnsi="Times New Roman" w:cs="Times New Roman"/>
          <w:sz w:val="28"/>
          <w:szCs w:val="28"/>
          <w:lang w:eastAsia="it-IT"/>
        </w:rPr>
        <w:t>bis) e d</w:t>
      </w:r>
      <w:r w:rsidR="00FC0587" w:rsidRPr="005D3998">
        <w:rPr>
          <w:rFonts w:ascii="Times New Roman" w:eastAsia="Times New Roman" w:hAnsi="Times New Roman" w:cs="Times New Roman"/>
          <w:sz w:val="28"/>
          <w:szCs w:val="28"/>
          <w:lang w:eastAsia="it-IT"/>
        </w:rPr>
        <w:t>-</w:t>
      </w:r>
      <w:r w:rsidRPr="005D3998">
        <w:rPr>
          <w:rFonts w:ascii="Times New Roman" w:eastAsia="Times New Roman" w:hAnsi="Times New Roman" w:cs="Times New Roman"/>
          <w:sz w:val="28"/>
          <w:szCs w:val="28"/>
          <w:lang w:eastAsia="it-IT"/>
        </w:rPr>
        <w:t xml:space="preserve">ter) che prevedono rispettivamente: </w:t>
      </w:r>
    </w:p>
    <w:p w:rsidR="00944704" w:rsidRPr="005D3998" w:rsidRDefault="00944704" w:rsidP="0034468D">
      <w:pPr>
        <w:spacing w:after="120" w:line="257" w:lineRule="auto"/>
        <w:jc w:val="both"/>
        <w:rPr>
          <w:rFonts w:ascii="Times New Roman" w:hAnsi="Times New Roman" w:cs="Times New Roman"/>
          <w:sz w:val="28"/>
          <w:szCs w:val="28"/>
        </w:rPr>
      </w:pPr>
      <w:r w:rsidRPr="005D3998">
        <w:rPr>
          <w:rFonts w:ascii="Times New Roman" w:eastAsia="Times New Roman" w:hAnsi="Times New Roman" w:cs="Times New Roman"/>
          <w:sz w:val="28"/>
          <w:szCs w:val="28"/>
          <w:lang w:eastAsia="it-IT"/>
        </w:rPr>
        <w:t xml:space="preserve">- </w:t>
      </w:r>
      <w:r w:rsidR="00A71C54" w:rsidRPr="005D3998">
        <w:rPr>
          <w:rFonts w:ascii="Times New Roman" w:eastAsia="Times New Roman" w:hAnsi="Times New Roman" w:cs="Times New Roman"/>
          <w:sz w:val="28"/>
          <w:szCs w:val="28"/>
          <w:lang w:eastAsia="it-IT"/>
        </w:rPr>
        <w:t>la realizzazione e lo sviluppo di una rete di teatri efficiente, diversificata, distribuita in maniera equilibrata sul territorio, al fine di favorire l’integrazione sia tra i teatri medesimi sia con il contesto sociale e con i servizi per la mobilità;</w:t>
      </w:r>
      <w:r w:rsidR="00A71C54" w:rsidRPr="005D3998">
        <w:rPr>
          <w:rFonts w:ascii="Times New Roman" w:hAnsi="Times New Roman" w:cs="Times New Roman"/>
          <w:sz w:val="28"/>
          <w:szCs w:val="28"/>
        </w:rPr>
        <w:t xml:space="preserve"> </w:t>
      </w:r>
    </w:p>
    <w:p w:rsidR="00944704" w:rsidRPr="005D3998" w:rsidRDefault="00944704" w:rsidP="0034468D">
      <w:pPr>
        <w:spacing w:after="120" w:line="257" w:lineRule="auto"/>
        <w:jc w:val="both"/>
        <w:rPr>
          <w:rFonts w:ascii="Times New Roman" w:eastAsia="Times New Roman" w:hAnsi="Times New Roman" w:cs="Times New Roman"/>
          <w:sz w:val="28"/>
          <w:szCs w:val="28"/>
          <w:lang w:eastAsia="it-IT"/>
        </w:rPr>
      </w:pPr>
      <w:r w:rsidRPr="005D3998">
        <w:rPr>
          <w:rFonts w:ascii="Times New Roman" w:hAnsi="Times New Roman" w:cs="Times New Roman"/>
          <w:sz w:val="28"/>
          <w:szCs w:val="28"/>
        </w:rPr>
        <w:lastRenderedPageBreak/>
        <w:t xml:space="preserve">- </w:t>
      </w:r>
      <w:r w:rsidR="00A71C54" w:rsidRPr="005D3998">
        <w:rPr>
          <w:rFonts w:ascii="Times New Roman" w:eastAsia="Times New Roman" w:hAnsi="Times New Roman" w:cs="Times New Roman"/>
          <w:sz w:val="28"/>
          <w:szCs w:val="28"/>
          <w:lang w:eastAsia="it-IT"/>
        </w:rPr>
        <w:t xml:space="preserve">la distribuzione razionale ed equilibrata delle sale teatrali sul territorio regionale, al fine di garantire, in particolare, il pluralismo e la presenza equilibrata tra le diverse tipologie teatrali; </w:t>
      </w:r>
    </w:p>
    <w:p w:rsidR="00A71C54" w:rsidRPr="005D3998" w:rsidRDefault="00944704" w:rsidP="0034468D">
      <w:pPr>
        <w:spacing w:after="120" w:line="257"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 xml:space="preserve">- </w:t>
      </w:r>
      <w:r w:rsidR="00A71C54" w:rsidRPr="005D3998">
        <w:rPr>
          <w:rFonts w:ascii="Times New Roman" w:eastAsia="Times New Roman" w:hAnsi="Times New Roman" w:cs="Times New Roman"/>
          <w:sz w:val="28"/>
          <w:szCs w:val="28"/>
          <w:lang w:eastAsia="it-IT"/>
        </w:rPr>
        <w:t xml:space="preserve">la valorizzazione e di salvaguardia della cultura del territorio che i teatri </w:t>
      </w:r>
      <w:r w:rsidR="00FC0587" w:rsidRPr="005D3998">
        <w:rPr>
          <w:rFonts w:ascii="Times New Roman" w:eastAsia="Times New Roman" w:hAnsi="Times New Roman" w:cs="Times New Roman"/>
          <w:sz w:val="28"/>
          <w:szCs w:val="28"/>
          <w:lang w:eastAsia="it-IT"/>
        </w:rPr>
        <w:t xml:space="preserve">e le attività culturali </w:t>
      </w:r>
      <w:r w:rsidR="00A71C54" w:rsidRPr="005D3998">
        <w:rPr>
          <w:rFonts w:ascii="Times New Roman" w:eastAsia="Times New Roman" w:hAnsi="Times New Roman" w:cs="Times New Roman"/>
          <w:sz w:val="28"/>
          <w:szCs w:val="28"/>
          <w:lang w:eastAsia="it-IT"/>
        </w:rPr>
        <w:t>svolgono nei piccoli comuni.</w:t>
      </w:r>
    </w:p>
    <w:p w:rsidR="00A71C54" w:rsidRPr="005D3998" w:rsidRDefault="00A71C54" w:rsidP="0034468D">
      <w:pPr>
        <w:spacing w:after="120" w:line="257"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Al comma 1, lettera b) dell’articolo in esame sono inserite modifiche all’articolo 5 della l.r. 15/2014, volte anch’esse a dare maggiore evidenza ed a precisare l’ambito applicativo di disposizioni normative, attraverso l’inserimento, nell’ambito della norma concernente la promozione della Regione degli spazi per lo spettacolo dal vivo,  del riferimento all’ “esercizio”, oltre che alla realizzazione dei medesimi spazi e, infine, attraverso la specificazione degli gli organismi promotori dei progetti quali “organismi di programmazione, gestori di sale teatrali”</w:t>
      </w:r>
      <w:r w:rsidR="00944704" w:rsidRPr="005D3998">
        <w:rPr>
          <w:rFonts w:ascii="Times New Roman" w:eastAsia="Times New Roman" w:hAnsi="Times New Roman" w:cs="Times New Roman"/>
          <w:sz w:val="28"/>
          <w:szCs w:val="28"/>
          <w:lang w:eastAsia="it-IT"/>
        </w:rPr>
        <w:t>.</w:t>
      </w:r>
    </w:p>
    <w:p w:rsidR="0027353A" w:rsidRPr="005D3998" w:rsidRDefault="0027353A" w:rsidP="0034468D">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Infine, al comma 1 lettera c) sono state apportate modifiche all’articolo 7 della l.r. 15/2014 concernente “Fondazioni e associazioni di rilevanza statale o regionale”.</w:t>
      </w:r>
    </w:p>
    <w:p w:rsidR="00834662" w:rsidRPr="005D3998" w:rsidRDefault="0027353A" w:rsidP="0034468D">
      <w:pPr>
        <w:spacing w:after="120" w:line="276" w:lineRule="auto"/>
        <w:jc w:val="both"/>
        <w:rPr>
          <w:rFonts w:ascii="Times New Roman" w:eastAsia="Times New Roman" w:hAnsi="Times New Roman" w:cs="Times New Roman"/>
          <w:sz w:val="28"/>
          <w:szCs w:val="28"/>
          <w:highlight w:val="yellow"/>
          <w:lang w:eastAsia="it-IT"/>
        </w:rPr>
      </w:pPr>
      <w:r w:rsidRPr="005D3998">
        <w:rPr>
          <w:rFonts w:ascii="Times New Roman" w:eastAsia="Times New Roman" w:hAnsi="Times New Roman" w:cs="Times New Roman"/>
          <w:sz w:val="28"/>
          <w:szCs w:val="28"/>
          <w:lang w:eastAsia="it-IT"/>
        </w:rPr>
        <w:t>In particolare, si è voluto dare maggiore evidenza sistematica, oltre che valenza generale per tutte le associazioni e le fondazioni partecipate dalla Regione, all’obbligo di trasmissione dei i bilanci preventivi e consuntivi alle strutture regionali competenti in materia di cultura e di bilancio. Si è ritenuto, altresì, precisare che detto obbligo di trasmissione costituisce condizione per l’erogazione delle risorse individuate ai sensi dell’articolo 14, comma 2, lettera d) della medesima l.r. 15/2014.</w:t>
      </w:r>
    </w:p>
    <w:p w:rsidR="002476CB" w:rsidRPr="005D3998" w:rsidRDefault="002476CB" w:rsidP="0034468D">
      <w:pPr>
        <w:spacing w:after="120" w:line="276" w:lineRule="auto"/>
        <w:jc w:val="both"/>
        <w:rPr>
          <w:rFonts w:ascii="Times New Roman" w:eastAsia="Times New Roman" w:hAnsi="Times New Roman" w:cs="Times New Roman"/>
          <w:sz w:val="28"/>
          <w:szCs w:val="28"/>
          <w:lang w:eastAsia="it-IT"/>
        </w:rPr>
      </w:pPr>
    </w:p>
    <w:p w:rsidR="00834662" w:rsidRPr="005D3998" w:rsidRDefault="002476CB" w:rsidP="0034468D">
      <w:pPr>
        <w:spacing w:after="120" w:line="276" w:lineRule="auto"/>
        <w:jc w:val="both"/>
        <w:rPr>
          <w:rFonts w:ascii="Times New Roman" w:eastAsia="Times New Roman" w:hAnsi="Times New Roman" w:cs="Times New Roman"/>
          <w:sz w:val="28"/>
          <w:szCs w:val="28"/>
          <w:lang w:eastAsia="it-IT"/>
        </w:rPr>
      </w:pPr>
      <w:r w:rsidRPr="005D3998">
        <w:rPr>
          <w:rFonts w:ascii="Times New Roman" w:eastAsia="Times New Roman" w:hAnsi="Times New Roman" w:cs="Times New Roman"/>
          <w:sz w:val="28"/>
          <w:szCs w:val="28"/>
          <w:lang w:eastAsia="it-IT"/>
        </w:rPr>
        <w:t>Art. 1</w:t>
      </w:r>
      <w:r w:rsidR="00FC0587" w:rsidRPr="005D3998">
        <w:rPr>
          <w:rFonts w:ascii="Times New Roman" w:eastAsia="Times New Roman" w:hAnsi="Times New Roman" w:cs="Times New Roman"/>
          <w:sz w:val="28"/>
          <w:szCs w:val="28"/>
          <w:lang w:eastAsia="it-IT"/>
        </w:rPr>
        <w:t>2</w:t>
      </w:r>
    </w:p>
    <w:p w:rsidR="002476CB" w:rsidRPr="005D3998" w:rsidRDefault="002476CB" w:rsidP="0034468D">
      <w:pPr>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L’articolo 1</w:t>
      </w:r>
      <w:r w:rsidR="00FC0587" w:rsidRPr="005D3998">
        <w:rPr>
          <w:rFonts w:ascii="Times New Roman" w:hAnsi="Times New Roman" w:cs="Times New Roman"/>
          <w:sz w:val="28"/>
          <w:szCs w:val="28"/>
        </w:rPr>
        <w:t>2</w:t>
      </w:r>
      <w:r w:rsidRPr="005D3998">
        <w:rPr>
          <w:rFonts w:ascii="Times New Roman" w:hAnsi="Times New Roman" w:cs="Times New Roman"/>
          <w:sz w:val="28"/>
          <w:szCs w:val="28"/>
        </w:rPr>
        <w:t xml:space="preserve"> prevede modifiche agli articoli 37 e 38 della l.r. 15/2002 recante </w:t>
      </w:r>
      <w:r w:rsidRPr="000F7002">
        <w:rPr>
          <w:rFonts w:ascii="Times New Roman" w:hAnsi="Times New Roman" w:cs="Times New Roman"/>
          <w:b/>
          <w:sz w:val="28"/>
          <w:szCs w:val="28"/>
        </w:rPr>
        <w:t>“Testo unico in materia di sport”</w:t>
      </w:r>
      <w:r w:rsidRPr="005D3998">
        <w:rPr>
          <w:rFonts w:ascii="Times New Roman" w:hAnsi="Times New Roman" w:cs="Times New Roman"/>
          <w:sz w:val="28"/>
          <w:szCs w:val="28"/>
        </w:rPr>
        <w:t xml:space="preserve"> che disciplinano, in particolare, le attività di promozione delle attività sportive e la correlata concessione di buoni sport alle famiglie in condizioni di disagio economico da parte della Regione</w:t>
      </w:r>
      <w:r w:rsidR="004C4A63" w:rsidRPr="005D3998">
        <w:rPr>
          <w:rFonts w:ascii="Times New Roman" w:hAnsi="Times New Roman" w:cs="Times New Roman"/>
          <w:sz w:val="28"/>
          <w:szCs w:val="28"/>
        </w:rPr>
        <w:t xml:space="preserve"> per consentire ai figli minori, agli anziani ed alle persone disabili a carico di praticare l’attività sportiva</w:t>
      </w:r>
      <w:r w:rsidRPr="005D3998">
        <w:rPr>
          <w:rFonts w:ascii="Times New Roman" w:hAnsi="Times New Roman" w:cs="Times New Roman"/>
          <w:sz w:val="28"/>
          <w:szCs w:val="28"/>
        </w:rPr>
        <w:t>.</w:t>
      </w:r>
    </w:p>
    <w:p w:rsidR="002476CB" w:rsidRPr="005D3998" w:rsidRDefault="00944704" w:rsidP="0034468D">
      <w:pPr>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S</w:t>
      </w:r>
      <w:r w:rsidR="002476CB" w:rsidRPr="005D3998">
        <w:rPr>
          <w:rFonts w:ascii="Times New Roman" w:hAnsi="Times New Roman" w:cs="Times New Roman"/>
          <w:sz w:val="28"/>
          <w:szCs w:val="28"/>
        </w:rPr>
        <w:t xml:space="preserve">i è ritenuto necessario introdurre </w:t>
      </w:r>
      <w:r w:rsidR="002476CB" w:rsidRPr="000F7002">
        <w:rPr>
          <w:rFonts w:ascii="Times New Roman" w:hAnsi="Times New Roman" w:cs="Times New Roman"/>
          <w:b/>
          <w:sz w:val="28"/>
          <w:szCs w:val="28"/>
        </w:rPr>
        <w:t>una più dettagliata disciplina della promozione delle manifestazioni sportive e delle altre iniziative di particolare rilievo internazionale o nazionale organizzate nel territorio</w:t>
      </w:r>
      <w:r w:rsidR="002476CB" w:rsidRPr="005D3998">
        <w:rPr>
          <w:rFonts w:ascii="Times New Roman" w:hAnsi="Times New Roman" w:cs="Times New Roman"/>
          <w:sz w:val="28"/>
          <w:szCs w:val="28"/>
        </w:rPr>
        <w:t xml:space="preserve">. </w:t>
      </w:r>
      <w:r w:rsidRPr="005D3998">
        <w:rPr>
          <w:rFonts w:ascii="Times New Roman" w:hAnsi="Times New Roman" w:cs="Times New Roman"/>
          <w:sz w:val="28"/>
          <w:szCs w:val="28"/>
        </w:rPr>
        <w:lastRenderedPageBreak/>
        <w:t>S</w:t>
      </w:r>
      <w:r w:rsidR="002476CB" w:rsidRPr="005D3998">
        <w:rPr>
          <w:rFonts w:ascii="Times New Roman" w:hAnsi="Times New Roman" w:cs="Times New Roman"/>
          <w:sz w:val="28"/>
          <w:szCs w:val="28"/>
        </w:rPr>
        <w:t xml:space="preserve">i dettano </w:t>
      </w:r>
      <w:r w:rsidR="004C4A63" w:rsidRPr="005D3998">
        <w:rPr>
          <w:rFonts w:ascii="Times New Roman" w:hAnsi="Times New Roman" w:cs="Times New Roman"/>
          <w:sz w:val="28"/>
          <w:szCs w:val="28"/>
        </w:rPr>
        <w:t>i requisiti per l’accesso ai buoni sport</w:t>
      </w:r>
      <w:r w:rsidR="002476CB" w:rsidRPr="005D3998">
        <w:rPr>
          <w:rFonts w:ascii="Times New Roman" w:hAnsi="Times New Roman" w:cs="Times New Roman"/>
          <w:sz w:val="28"/>
          <w:szCs w:val="28"/>
        </w:rPr>
        <w:t xml:space="preserve">, rinviando a successiva delibera di Giunta regionale </w:t>
      </w:r>
      <w:r w:rsidR="004C4A63" w:rsidRPr="005D3998">
        <w:rPr>
          <w:rFonts w:ascii="Times New Roman" w:hAnsi="Times New Roman" w:cs="Times New Roman"/>
          <w:sz w:val="28"/>
          <w:szCs w:val="28"/>
        </w:rPr>
        <w:t>gli eventuali ed ulteriori requisiti di accesso ai buoni</w:t>
      </w:r>
      <w:r w:rsidR="002476CB" w:rsidRPr="005D3998">
        <w:rPr>
          <w:rFonts w:ascii="Times New Roman" w:hAnsi="Times New Roman" w:cs="Times New Roman"/>
          <w:sz w:val="28"/>
          <w:szCs w:val="28"/>
        </w:rPr>
        <w:t>.</w:t>
      </w:r>
    </w:p>
    <w:p w:rsidR="008E0431" w:rsidRPr="005D3998" w:rsidRDefault="002476CB" w:rsidP="0034468D">
      <w:pPr>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Come noto l’istituzione dei buoni sportivi previsti dalla L.R. 15/2002 non ha mai trovato attuazione. </w:t>
      </w:r>
      <w:r w:rsidR="00FC0587" w:rsidRPr="005D3998">
        <w:rPr>
          <w:rFonts w:ascii="Times New Roman" w:hAnsi="Times New Roman" w:cs="Times New Roman"/>
          <w:sz w:val="28"/>
          <w:szCs w:val="28"/>
        </w:rPr>
        <w:t>S</w:t>
      </w:r>
      <w:r w:rsidRPr="005D3998">
        <w:rPr>
          <w:rFonts w:ascii="Times New Roman" w:hAnsi="Times New Roman" w:cs="Times New Roman"/>
          <w:sz w:val="28"/>
          <w:szCs w:val="28"/>
        </w:rPr>
        <w:t xml:space="preserve">i dispone, quindi, l’attivazione in via strutturale di tale importante strumento di inclusione sociale e promozione sportiva rivolto a soggetti in situazione di svantaggio sociale o disagio socio-economico, applicando il modello già sperimentato con le risorse afferenti al c.d. “Pacchetto Famiglia” che sta rendendo possibile l’erogazione di oltre 2.500 voucher sportivi ad altrettanti bambini e ragazzi dagli 8 ai 15 anni appartenenti a nuclei familiari a basso reddito. Il modello si basa sulla sottoscrizione di accordi tra pubbliche amministrazioni ai sensi dell’art. 15 della legge 241/1990 e assicura il necessario coinvolgimento del CONI, delle federazioni, degli enti di promozione sportiva e delle associazioni benemerite riconosciute. </w:t>
      </w:r>
    </w:p>
    <w:p w:rsidR="00944704" w:rsidRPr="005D3998" w:rsidRDefault="00944704" w:rsidP="0034468D">
      <w:pPr>
        <w:spacing w:after="120" w:line="276" w:lineRule="auto"/>
        <w:jc w:val="both"/>
        <w:rPr>
          <w:rFonts w:ascii="Times New Roman" w:eastAsia="Times New Roman" w:hAnsi="Times New Roman" w:cs="Times New Roman"/>
          <w:sz w:val="28"/>
          <w:szCs w:val="28"/>
          <w:lang w:eastAsia="it-IT"/>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4C4A63" w:rsidRPr="000F7002">
        <w:rPr>
          <w:rFonts w:ascii="Times New Roman" w:hAnsi="Times New Roman" w:cs="Times New Roman"/>
          <w:b/>
          <w:sz w:val="28"/>
          <w:szCs w:val="28"/>
        </w:rPr>
        <w:t>13</w:t>
      </w: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5D3998">
        <w:rPr>
          <w:rFonts w:ascii="Times New Roman" w:hAnsi="Times New Roman" w:cs="Times New Roman"/>
          <w:sz w:val="28"/>
          <w:szCs w:val="28"/>
        </w:rPr>
        <w:t xml:space="preserve">La legge regionale 7 dicembre 2007, n. 20 (Promozione degli strumenti di partecipazione istituzionale delle giovani generazioni alla vita politica e amministrativa locale) prevede, tra l’altro, </w:t>
      </w:r>
      <w:r w:rsidRPr="000F7002">
        <w:rPr>
          <w:rFonts w:ascii="Times New Roman" w:hAnsi="Times New Roman" w:cs="Times New Roman"/>
          <w:b/>
          <w:sz w:val="28"/>
          <w:szCs w:val="28"/>
        </w:rPr>
        <w:t>la concessione di contributi per le spese necessarie ai fini dell’istituzione e della gestione di due tipi di consigli: i consigli comunali, municipali e sovracomunali dei giovani e quelli dei bambini e ragazzi.</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Con la presente </w:t>
      </w:r>
      <w:r w:rsidR="003D1840" w:rsidRPr="005D3998">
        <w:rPr>
          <w:rFonts w:ascii="Times New Roman" w:hAnsi="Times New Roman" w:cs="Times New Roman"/>
          <w:sz w:val="28"/>
          <w:szCs w:val="28"/>
        </w:rPr>
        <w:t>disposizione</w:t>
      </w:r>
      <w:r w:rsidRPr="005D3998">
        <w:rPr>
          <w:rFonts w:ascii="Times New Roman" w:hAnsi="Times New Roman" w:cs="Times New Roman"/>
          <w:sz w:val="28"/>
          <w:szCs w:val="28"/>
        </w:rPr>
        <w:t xml:space="preserve"> ci si propone di suddividere i consigli in tre categorie: quelli dei giovani, quelli dei ragazzi e quelli dei bambini, al fine di riconoscere a ciascuno un ruolo specifico in relazione alle diverse fasce di età.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Si è, inoltre, provveduto a rafforzare il ruolo propositivo dei bambini e dei ragazzi ed è stata prevista la possibilità, sia per i ragazzi che per i bambini, di essere seguiti all’interno di specifici laboratori</w:t>
      </w:r>
      <w:r w:rsidR="00FA38AA" w:rsidRPr="005D3998">
        <w:rPr>
          <w:rFonts w:ascii="Times New Roman" w:hAnsi="Times New Roman" w:cs="Times New Roman"/>
          <w:sz w:val="28"/>
          <w:szCs w:val="28"/>
        </w:rPr>
        <w:t>.</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0F7002" w:rsidRDefault="000F7002" w:rsidP="006A6561">
      <w:pPr>
        <w:shd w:val="clear" w:color="auto" w:fill="FFFFFF"/>
        <w:spacing w:after="120" w:line="276" w:lineRule="auto"/>
        <w:jc w:val="both"/>
        <w:rPr>
          <w:rFonts w:ascii="Times New Roman" w:hAnsi="Times New Roman" w:cs="Times New Roman"/>
          <w:sz w:val="28"/>
          <w:szCs w:val="28"/>
        </w:rPr>
      </w:pPr>
    </w:p>
    <w:p w:rsidR="000F7002" w:rsidRDefault="000F7002"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lastRenderedPageBreak/>
        <w:t xml:space="preserve">Art. </w:t>
      </w:r>
      <w:r w:rsidR="00FA38AA" w:rsidRPr="000F7002">
        <w:rPr>
          <w:rFonts w:ascii="Times New Roman" w:hAnsi="Times New Roman" w:cs="Times New Roman"/>
          <w:b/>
          <w:sz w:val="28"/>
          <w:szCs w:val="28"/>
        </w:rPr>
        <w:t>14</w:t>
      </w:r>
      <w:r w:rsidRPr="000F7002">
        <w:rPr>
          <w:rFonts w:ascii="Times New Roman" w:hAnsi="Times New Roman" w:cs="Times New Roman"/>
          <w:b/>
          <w:sz w:val="28"/>
          <w:szCs w:val="28"/>
        </w:rPr>
        <w:t xml:space="preserve"> </w:t>
      </w: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5D3998">
        <w:rPr>
          <w:rFonts w:ascii="Times New Roman" w:hAnsi="Times New Roman" w:cs="Times New Roman"/>
          <w:sz w:val="28"/>
          <w:szCs w:val="28"/>
        </w:rPr>
        <w:t xml:space="preserve">L’articolo </w:t>
      </w:r>
      <w:r w:rsidR="00FA38AA" w:rsidRPr="005D3998">
        <w:rPr>
          <w:rFonts w:ascii="Times New Roman" w:hAnsi="Times New Roman" w:cs="Times New Roman"/>
          <w:sz w:val="28"/>
          <w:szCs w:val="28"/>
        </w:rPr>
        <w:t>14</w:t>
      </w:r>
      <w:r w:rsidRPr="005D3998">
        <w:rPr>
          <w:rFonts w:ascii="Times New Roman" w:hAnsi="Times New Roman" w:cs="Times New Roman"/>
          <w:sz w:val="28"/>
          <w:szCs w:val="28"/>
        </w:rPr>
        <w:t xml:space="preserve"> reca diverse disposizioni concernenti la </w:t>
      </w:r>
      <w:r w:rsidRPr="000F7002">
        <w:rPr>
          <w:rFonts w:ascii="Times New Roman" w:hAnsi="Times New Roman" w:cs="Times New Roman"/>
          <w:b/>
          <w:sz w:val="28"/>
          <w:szCs w:val="28"/>
        </w:rPr>
        <w:t xml:space="preserve">razionalizzazione, l’innovazione e il potenziamento della rete di offerta di servizi e interventi sociali. </w:t>
      </w:r>
    </w:p>
    <w:p w:rsidR="006A6561" w:rsidRPr="005D3998" w:rsidRDefault="00BD06B8"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S</w:t>
      </w:r>
      <w:r w:rsidR="006A6561" w:rsidRPr="005D3998">
        <w:rPr>
          <w:rFonts w:ascii="Times New Roman" w:hAnsi="Times New Roman" w:cs="Times New Roman"/>
          <w:sz w:val="28"/>
          <w:szCs w:val="28"/>
        </w:rPr>
        <w:t xml:space="preserve">i introducono disposizioni relative ai criteri per l’accreditamento delle strutture sociosanitarie, prevedendo la standardizzazione dei modelli organizzativi e delle linee guida relativi.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Il comma 4 reca disposizioni dirette a favorire l’istituzione e la strutturazione del servizio permanente di interesse regionale inerente alla reintegrazione familiare e sociale del paziente post-comatoso – già disciplinato dall’articolo 5, commi 3 e 4 della legge regionale n. 17/2015  Tale servizio è rivolto a soggetti che sono usciti da uno stato di coma prolungato pregresso e che non necessitano più di ricovero in strutture sanitarie al fine di favorirne il percorso di reinserimento sociale, scolastico o lavorativo.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Il comma 5 integra le previsioni dell’articolo 45 della legge regionale 11/2016, prevedendo che, previa autorizzazione della Regione, al fine di assicurare la funzionalità dell’ufficio di piano, una quota delle risorse assegnate dalla Regione per l’attuazione dei piani sociali di zona può essere destinata a misure di valorizzazione del merito ed incentivazione della performance del personale dell’ufficio di piano e al reclutamento di personale da destinare all’ufficio, nel rispetto dei vincoli di finanza pubblica, della normativa vigente in tema di pubblico impiego e delle disposizioni del contratto collettivo nazionale di riferimento.</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Il comma 6 prevede la promozione di attività tiflodidattica in favore degli allievi frequentanti gli asili nido e le scuole di ogni ordine e grado, pubblici e privati, ubicati nel territorio, avvalendosi del Centro Sant’Alessio, quale Azienda pubblica di servizi alla persona disabile visiva della Regione Lazio, senza scopo di lucro, nel limite dell’autorizzazione di spesa pari ad euro 50.000,00 per ciascuna annualità 2020</w:t>
      </w:r>
      <w:r w:rsidR="00FA38AA" w:rsidRPr="005D3998">
        <w:rPr>
          <w:rFonts w:ascii="Times New Roman" w:hAnsi="Times New Roman" w:cs="Times New Roman"/>
          <w:sz w:val="28"/>
          <w:szCs w:val="28"/>
        </w:rPr>
        <w:t>-</w:t>
      </w:r>
      <w:r w:rsidRPr="005D3998">
        <w:rPr>
          <w:rFonts w:ascii="Times New Roman" w:hAnsi="Times New Roman" w:cs="Times New Roman"/>
          <w:sz w:val="28"/>
          <w:szCs w:val="28"/>
        </w:rPr>
        <w:t>202</w:t>
      </w:r>
      <w:r w:rsidR="00FA38AA" w:rsidRPr="005D3998">
        <w:rPr>
          <w:rFonts w:ascii="Times New Roman" w:hAnsi="Times New Roman" w:cs="Times New Roman"/>
          <w:sz w:val="28"/>
          <w:szCs w:val="28"/>
        </w:rPr>
        <w:t>2</w:t>
      </w:r>
      <w:r w:rsidRPr="005D3998">
        <w:rPr>
          <w:rFonts w:ascii="Times New Roman" w:hAnsi="Times New Roman" w:cs="Times New Roman"/>
          <w:sz w:val="28"/>
          <w:szCs w:val="28"/>
        </w:rPr>
        <w:t>.</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Infine, il comma 7 dell’articolo è diretto a promuovere l’adozione di modelli organizzativi, quali l’istituzione di una Banca del Latte Umano Donato presso i reparti di neonatologia, diretti a favorire e sostenere la donazione del latte umano materno, garantendo la libertà di scelta della mamma.</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lastRenderedPageBreak/>
        <w:t xml:space="preserve">Art. </w:t>
      </w:r>
      <w:r w:rsidR="00FA38AA" w:rsidRPr="000F7002">
        <w:rPr>
          <w:rFonts w:ascii="Times New Roman" w:hAnsi="Times New Roman" w:cs="Times New Roman"/>
          <w:b/>
          <w:sz w:val="28"/>
          <w:szCs w:val="28"/>
        </w:rPr>
        <w:t>15</w:t>
      </w: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5D3998">
        <w:rPr>
          <w:rFonts w:ascii="Times New Roman" w:hAnsi="Times New Roman" w:cs="Times New Roman"/>
          <w:sz w:val="28"/>
          <w:szCs w:val="28"/>
        </w:rPr>
        <w:t xml:space="preserve">Nell’ambito </w:t>
      </w:r>
      <w:r w:rsidRPr="000F7002">
        <w:rPr>
          <w:rFonts w:ascii="Times New Roman" w:hAnsi="Times New Roman" w:cs="Times New Roman"/>
          <w:b/>
          <w:sz w:val="28"/>
          <w:szCs w:val="28"/>
        </w:rPr>
        <w:t xml:space="preserve">dell’obiettivo del contenimento dell’offerta di gioco, la </w:t>
      </w:r>
      <w:r w:rsidR="00A57C50" w:rsidRPr="000F7002">
        <w:rPr>
          <w:rFonts w:ascii="Times New Roman" w:hAnsi="Times New Roman" w:cs="Times New Roman"/>
          <w:b/>
          <w:sz w:val="28"/>
          <w:szCs w:val="28"/>
        </w:rPr>
        <w:t>disposizione</w:t>
      </w:r>
      <w:r w:rsidRPr="000F7002">
        <w:rPr>
          <w:rFonts w:ascii="Times New Roman" w:hAnsi="Times New Roman" w:cs="Times New Roman"/>
          <w:b/>
          <w:sz w:val="28"/>
          <w:szCs w:val="28"/>
        </w:rPr>
        <w:t xml:space="preserve"> mira ad ampliare la potestà dei Comuni nell’individuazione di ulteriori limitazioni a livello territoriale.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A tal fine si introduce un criterio aggiuntivo, quello della “distribuzione oraria”, per consentire, in ambito locale, la previsione di eventuali fasce di interruzione del gioco nell’arco della giornata.</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Si interviene, inoltre, attraverso l’introduzione di una disciplina transitoria che estende le limitazioni vigenti per le nuove sale anche ai punti gioco già esistenti alla data di entrata in vigore della presente legge, prevedendo tempistiche differenziate di adeguamento per gli esercizi commerciali e le sale da gioco ed il raccordo con gli indirizzi ed i criteri contenuti nelle linee guida adottate in materia dalla Conferenza Unificata.</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Art.</w:t>
      </w:r>
      <w:r w:rsidR="00FA38AA" w:rsidRPr="000F7002">
        <w:rPr>
          <w:rFonts w:ascii="Times New Roman" w:hAnsi="Times New Roman" w:cs="Times New Roman"/>
          <w:b/>
          <w:sz w:val="28"/>
          <w:szCs w:val="28"/>
        </w:rPr>
        <w:t xml:space="preserve"> 16</w:t>
      </w:r>
      <w:r w:rsidRPr="000F7002">
        <w:rPr>
          <w:rFonts w:ascii="Times New Roman" w:hAnsi="Times New Roman" w:cs="Times New Roman"/>
          <w:b/>
          <w:sz w:val="28"/>
          <w:szCs w:val="28"/>
        </w:rPr>
        <w:t xml:space="preserv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La disposizione in oggetto risponde all’esigenza di semplificazione e certezza dei tempi procedimentali. Nel confermare la competenza del comune in materia di procedimenti relativi al </w:t>
      </w:r>
      <w:r w:rsidRPr="000F7002">
        <w:rPr>
          <w:rFonts w:ascii="Times New Roman" w:hAnsi="Times New Roman" w:cs="Times New Roman"/>
          <w:b/>
          <w:sz w:val="28"/>
          <w:szCs w:val="28"/>
        </w:rPr>
        <w:t>trasferimento della farmacia in altri locali situati all’interno della medesima sede di pertinenza, si prevede che il procedimento debba concludersi entro novanta giorni</w:t>
      </w:r>
      <w:r w:rsidRPr="005D3998">
        <w:rPr>
          <w:rFonts w:ascii="Times New Roman" w:hAnsi="Times New Roman" w:cs="Times New Roman"/>
          <w:sz w:val="28"/>
          <w:szCs w:val="28"/>
        </w:rPr>
        <w:t xml:space="preserve"> dalla presentazione della domanda di trasferimento e che decorso tale termine si forma il silenzio assenso.</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FA38AA" w:rsidRPr="000F7002">
        <w:rPr>
          <w:rFonts w:ascii="Times New Roman" w:hAnsi="Times New Roman" w:cs="Times New Roman"/>
          <w:b/>
          <w:sz w:val="28"/>
          <w:szCs w:val="28"/>
        </w:rPr>
        <w:t>17</w:t>
      </w:r>
      <w:r w:rsidRPr="000F7002">
        <w:rPr>
          <w:rFonts w:ascii="Times New Roman" w:hAnsi="Times New Roman" w:cs="Times New Roman"/>
          <w:b/>
          <w:sz w:val="28"/>
          <w:szCs w:val="28"/>
        </w:rPr>
        <w:t xml:space="preserv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Le disposizioni introdotte dall’articolo </w:t>
      </w:r>
      <w:r w:rsidR="00FA38AA" w:rsidRPr="005D3998">
        <w:rPr>
          <w:rFonts w:ascii="Times New Roman" w:hAnsi="Times New Roman" w:cs="Times New Roman"/>
          <w:sz w:val="28"/>
          <w:szCs w:val="28"/>
        </w:rPr>
        <w:t>17</w:t>
      </w:r>
      <w:r w:rsidRPr="005D3998">
        <w:rPr>
          <w:rFonts w:ascii="Times New Roman" w:hAnsi="Times New Roman" w:cs="Times New Roman"/>
          <w:sz w:val="28"/>
          <w:szCs w:val="28"/>
        </w:rPr>
        <w:t xml:space="preserve"> si rendono necessarie al fine di </w:t>
      </w:r>
      <w:r w:rsidRPr="000F7002">
        <w:rPr>
          <w:rFonts w:ascii="Times New Roman" w:hAnsi="Times New Roman" w:cs="Times New Roman"/>
          <w:b/>
          <w:sz w:val="28"/>
          <w:szCs w:val="28"/>
        </w:rPr>
        <w:t>consentire l’utilizzo su scala regionale delle graduatorie dei concorsi in corso di espletamento e da espletarsi, per il personale del SSR ed afferente a tutti ruoli dello stesso SSR.</w:t>
      </w:r>
      <w:r w:rsidRPr="005D3998">
        <w:rPr>
          <w:rFonts w:ascii="Times New Roman" w:hAnsi="Times New Roman" w:cs="Times New Roman"/>
          <w:sz w:val="28"/>
          <w:szCs w:val="28"/>
        </w:rPr>
        <w:t xml:space="preserve"> Tale intervento si colloca in coerenza con quanto disposto dal Decreto del Commissario ad acra n. U00378 del 12 settembre 2019 e del precedente Decreto del Commissario ad acta n. U00405 del 31 ottobre 2018 di approvazione del Regolamento per la procedura autorizzativa di assunzione del personale del S.S.R., che prevedono, tra l’altro, che le procedure concorsuali pubbliche, indette, </w:t>
      </w:r>
      <w:r w:rsidRPr="005D3998">
        <w:rPr>
          <w:rFonts w:ascii="Times New Roman" w:hAnsi="Times New Roman" w:cs="Times New Roman"/>
          <w:sz w:val="28"/>
          <w:szCs w:val="28"/>
        </w:rPr>
        <w:lastRenderedPageBreak/>
        <w:t xml:space="preserve">pubblicate ed espletate, rientrano nel complesso delle procedure concorsuali avviate a livello regionale e, pertanto, assumono natura di atto concorsuale di livello regionale. Le graduatorie dei citati concorsi, dunque, assumono valenza regionale, con possibilità di utilizzo delle stesse da parte di tutte le Aziende e gli Enti del SSR ed essere, previa autorizzazione regionale, oggetto di scorrimento da parte delle stesse.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A</w:t>
      </w:r>
      <w:r w:rsidR="00F04181" w:rsidRPr="000F7002">
        <w:rPr>
          <w:rFonts w:ascii="Times New Roman" w:hAnsi="Times New Roman" w:cs="Times New Roman"/>
          <w:b/>
          <w:sz w:val="28"/>
          <w:szCs w:val="28"/>
        </w:rPr>
        <w:t>rt</w:t>
      </w:r>
      <w:r w:rsidRPr="000F7002">
        <w:rPr>
          <w:rFonts w:ascii="Times New Roman" w:hAnsi="Times New Roman" w:cs="Times New Roman"/>
          <w:b/>
          <w:sz w:val="28"/>
          <w:szCs w:val="28"/>
        </w:rPr>
        <w:t xml:space="preserve">. </w:t>
      </w:r>
      <w:r w:rsidR="00FA38AA" w:rsidRPr="000F7002">
        <w:rPr>
          <w:rFonts w:ascii="Times New Roman" w:hAnsi="Times New Roman" w:cs="Times New Roman"/>
          <w:b/>
          <w:sz w:val="28"/>
          <w:szCs w:val="28"/>
        </w:rPr>
        <w:t>18</w:t>
      </w:r>
      <w:r w:rsidRPr="000F7002">
        <w:rPr>
          <w:rFonts w:ascii="Times New Roman" w:hAnsi="Times New Roman" w:cs="Times New Roman"/>
          <w:b/>
          <w:sz w:val="28"/>
          <w:szCs w:val="28"/>
        </w:rPr>
        <w:t xml:space="preserv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L’articolo </w:t>
      </w:r>
      <w:r w:rsidR="00FA38AA" w:rsidRPr="005D3998">
        <w:rPr>
          <w:rFonts w:ascii="Times New Roman" w:hAnsi="Times New Roman" w:cs="Times New Roman"/>
          <w:sz w:val="28"/>
          <w:szCs w:val="28"/>
        </w:rPr>
        <w:t>18</w:t>
      </w:r>
      <w:r w:rsidRPr="005D3998">
        <w:rPr>
          <w:rFonts w:ascii="Times New Roman" w:hAnsi="Times New Roman" w:cs="Times New Roman"/>
          <w:sz w:val="28"/>
          <w:szCs w:val="28"/>
        </w:rPr>
        <w:t xml:space="preserve"> risponde </w:t>
      </w:r>
      <w:r w:rsidRPr="000F7002">
        <w:rPr>
          <w:rFonts w:ascii="Times New Roman" w:hAnsi="Times New Roman" w:cs="Times New Roman"/>
          <w:b/>
          <w:sz w:val="28"/>
          <w:szCs w:val="28"/>
        </w:rPr>
        <w:t>all’obiettivo di garantire il diritto alla prima casa a determinate categorie che trovano difficoltà a reperire un alloggio al libero mercato.</w:t>
      </w:r>
      <w:r w:rsidRPr="005D3998">
        <w:rPr>
          <w:rFonts w:ascii="Times New Roman" w:hAnsi="Times New Roman" w:cs="Times New Roman"/>
          <w:sz w:val="28"/>
          <w:szCs w:val="28"/>
        </w:rPr>
        <w:t xml:space="preserve"> La Regione Lazio, attraverso le politiche di edilizia residenziale agevolata concede, ai sensi della normativa in materia, finanziamenti a titolo di contributo, agli operatori individuati tra società di costruzione, cooperative edilizie e loro consorzi per la realizzazione di alloggi da destinare alle suddette categorie a condizioni agevolate. Per garantire la realizzabilità dei singoli programmi oltre alla quota di finanziamento pubblico, gli operatori debbono accendere un finanziamento anche presso gli istituti di credito.</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Si è riscontrato che le cooperative edilizie, in particolar modo, trovano grandi difficoltà ad ottenere finanziamenti presso gli istituti bancari. Pertanto, al fine di consentire la realizzabilità degli alloggi stessi, con la normativa in esame si propone l’istituzione di un fondo di rotazione denominato “Fondo rotativo regionale per la conclusione dei programmi costruttivi di edilizia agevolata” che garantisca agli operatori, a titolo di anticipazione, la disponibilità finanziaria necessaria per portare a compimento gli interventi programmati e in tal modo  soddisfare le esigenze di quei cittadini che riuniti in cooperativa partecipano in modo cospicuo  con proprie risorse finanziarie alla realizzazione degli alloggi.</w:t>
      </w:r>
    </w:p>
    <w:p w:rsidR="00941821" w:rsidRPr="005D3998" w:rsidRDefault="0094182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941821" w:rsidRPr="000F7002">
        <w:rPr>
          <w:rFonts w:ascii="Times New Roman" w:hAnsi="Times New Roman" w:cs="Times New Roman"/>
          <w:b/>
          <w:sz w:val="28"/>
          <w:szCs w:val="28"/>
        </w:rPr>
        <w:t>19</w:t>
      </w:r>
      <w:r w:rsidRPr="000F7002">
        <w:rPr>
          <w:rFonts w:ascii="Times New Roman" w:hAnsi="Times New Roman" w:cs="Times New Roman"/>
          <w:b/>
          <w:sz w:val="28"/>
          <w:szCs w:val="28"/>
        </w:rPr>
        <w:t xml:space="preserv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Il comma </w:t>
      </w:r>
      <w:r w:rsidR="00941821" w:rsidRPr="005D3998">
        <w:rPr>
          <w:rFonts w:ascii="Times New Roman" w:hAnsi="Times New Roman" w:cs="Times New Roman"/>
          <w:sz w:val="28"/>
          <w:szCs w:val="28"/>
        </w:rPr>
        <w:t>1</w:t>
      </w:r>
      <w:r w:rsidRPr="005D3998">
        <w:rPr>
          <w:rFonts w:ascii="Times New Roman" w:hAnsi="Times New Roman" w:cs="Times New Roman"/>
          <w:sz w:val="28"/>
          <w:szCs w:val="28"/>
        </w:rPr>
        <w:t xml:space="preserve"> dispone che i </w:t>
      </w:r>
      <w:r w:rsidRPr="000F7002">
        <w:rPr>
          <w:rFonts w:ascii="Times New Roman" w:hAnsi="Times New Roman" w:cs="Times New Roman"/>
          <w:b/>
          <w:sz w:val="28"/>
          <w:szCs w:val="28"/>
        </w:rPr>
        <w:t>luoghi di culto utilizzati da più di 50 anni dalle diocesi o dalle parrocchie civilmente riconosciute, previa richiesta, possono essere trasferiti, a titolo gratuito e con vincolo di destinazione, alle medesime parrocchie o diocesi</w:t>
      </w:r>
      <w:r w:rsidRPr="005D3998">
        <w:rPr>
          <w:rFonts w:ascii="Times New Roman" w:hAnsi="Times New Roman" w:cs="Times New Roman"/>
          <w:sz w:val="28"/>
          <w:szCs w:val="28"/>
        </w:rPr>
        <w:t xml:space="preserve">. I beni mobili di proprietà regionale ivi </w:t>
      </w:r>
      <w:r w:rsidRPr="005D3998">
        <w:rPr>
          <w:rFonts w:ascii="Times New Roman" w:hAnsi="Times New Roman" w:cs="Times New Roman"/>
          <w:sz w:val="28"/>
          <w:szCs w:val="28"/>
        </w:rPr>
        <w:lastRenderedPageBreak/>
        <w:t xml:space="preserve">contenuti sono ceduti in custodia alle stesse parrocchie o diocesi, che ne curano la conservazione la manutenzione ed il restauro. Il trasferimento di proprietà avviene a cura e spese del beneficiario, previa deliberazione della Giunta regionale.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Il comma </w:t>
      </w:r>
      <w:r w:rsidR="00941821" w:rsidRPr="005D3998">
        <w:rPr>
          <w:rFonts w:ascii="Times New Roman" w:hAnsi="Times New Roman" w:cs="Times New Roman"/>
          <w:sz w:val="28"/>
          <w:szCs w:val="28"/>
        </w:rPr>
        <w:t>2</w:t>
      </w:r>
      <w:r w:rsidRPr="005D3998">
        <w:rPr>
          <w:rFonts w:ascii="Times New Roman" w:hAnsi="Times New Roman" w:cs="Times New Roman"/>
          <w:sz w:val="28"/>
          <w:szCs w:val="28"/>
        </w:rPr>
        <w:t xml:space="preserve"> stabilisce che la riduzione della contribuzione della Regione alle spese di funzionamento, ove previste da leggi regionali, degli organismi pubblici comunque denominati non si applica alle fondazioni ed associazioni di rilevanza statale o regionale, partecipate direttamente o indirettamente dalla Regione, che svolgono attività culturali.</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Il comma </w:t>
      </w:r>
      <w:r w:rsidR="00941821" w:rsidRPr="005D3998">
        <w:rPr>
          <w:rFonts w:ascii="Times New Roman" w:hAnsi="Times New Roman" w:cs="Times New Roman"/>
          <w:sz w:val="28"/>
          <w:szCs w:val="28"/>
        </w:rPr>
        <w:t>3</w:t>
      </w:r>
      <w:r w:rsidRPr="005D3998">
        <w:rPr>
          <w:rFonts w:ascii="Times New Roman" w:hAnsi="Times New Roman" w:cs="Times New Roman"/>
          <w:sz w:val="28"/>
          <w:szCs w:val="28"/>
        </w:rPr>
        <w:t xml:space="preserve"> stabilisce che, a decorrere dal 2020, i proventi derivanti dalla alienazione dei beni immobili di proprietà dell’ARSIAL siano introitati nella misura del 70% e versati all’entrata del bilancio nella tipologia 400 “Entrate da alienazione di beni materiali e immateriali” del titolo 4 “Entrate in conto capitale”.</w:t>
      </w:r>
    </w:p>
    <w:p w:rsidR="006A6561" w:rsidRPr="005D3998" w:rsidRDefault="00BD06B8"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Si </w:t>
      </w:r>
      <w:r w:rsidR="006A6561" w:rsidRPr="005D3998">
        <w:rPr>
          <w:rFonts w:ascii="Times New Roman" w:hAnsi="Times New Roman" w:cs="Times New Roman"/>
          <w:sz w:val="28"/>
          <w:szCs w:val="28"/>
        </w:rPr>
        <w:t xml:space="preserve">dispone che l’importo relativo alla concessione di anticipazioni di liquidità, concessa ai tesorieri o cassieri degli enti pubblici dipendenti dalla Regione nonché ai propri enti ed organismi strumentali ed ai consorzi di bonifica presenti nel territorio regionale, si riferisce a ciascun esercizio finanziario. </w:t>
      </w:r>
    </w:p>
    <w:p w:rsidR="00941821" w:rsidRPr="005D3998" w:rsidRDefault="0094182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Con i commi da 6 a 9 si intende favorire il completamento delle opere pubbliche finanziate dalla Regione.</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0F7002">
        <w:rPr>
          <w:rFonts w:ascii="Times New Roman" w:hAnsi="Times New Roman" w:cs="Times New Roman"/>
          <w:b/>
          <w:sz w:val="28"/>
          <w:szCs w:val="28"/>
        </w:rPr>
        <w:t>Art. 2</w:t>
      </w:r>
      <w:r w:rsidR="003B521A" w:rsidRPr="000F7002">
        <w:rPr>
          <w:rFonts w:ascii="Times New Roman" w:hAnsi="Times New Roman" w:cs="Times New Roman"/>
          <w:b/>
          <w:sz w:val="28"/>
          <w:szCs w:val="28"/>
        </w:rPr>
        <w:t>0</w:t>
      </w:r>
    </w:p>
    <w:p w:rsidR="006A6561" w:rsidRPr="000F7002" w:rsidRDefault="006A6561" w:rsidP="006A6561">
      <w:pPr>
        <w:shd w:val="clear" w:color="auto" w:fill="FFFFFF"/>
        <w:spacing w:after="120" w:line="276" w:lineRule="auto"/>
        <w:jc w:val="both"/>
        <w:rPr>
          <w:rFonts w:ascii="Times New Roman" w:hAnsi="Times New Roman" w:cs="Times New Roman"/>
          <w:b/>
          <w:sz w:val="28"/>
          <w:szCs w:val="28"/>
        </w:rPr>
      </w:pPr>
      <w:r w:rsidRPr="005D3998">
        <w:rPr>
          <w:rFonts w:ascii="Times New Roman" w:hAnsi="Times New Roman" w:cs="Times New Roman"/>
          <w:sz w:val="28"/>
          <w:szCs w:val="28"/>
        </w:rPr>
        <w:t>L’articolo 2</w:t>
      </w:r>
      <w:r w:rsidR="003B521A" w:rsidRPr="005D3998">
        <w:rPr>
          <w:rFonts w:ascii="Times New Roman" w:hAnsi="Times New Roman" w:cs="Times New Roman"/>
          <w:sz w:val="28"/>
          <w:szCs w:val="28"/>
        </w:rPr>
        <w:t>0</w:t>
      </w:r>
      <w:r w:rsidRPr="005D3998">
        <w:rPr>
          <w:rFonts w:ascii="Times New Roman" w:hAnsi="Times New Roman" w:cs="Times New Roman"/>
          <w:sz w:val="28"/>
          <w:szCs w:val="28"/>
        </w:rPr>
        <w:t xml:space="preserve"> </w:t>
      </w:r>
      <w:r w:rsidRPr="000F7002">
        <w:rPr>
          <w:rFonts w:ascii="Times New Roman" w:hAnsi="Times New Roman" w:cs="Times New Roman"/>
          <w:b/>
          <w:sz w:val="28"/>
          <w:szCs w:val="28"/>
        </w:rPr>
        <w:t xml:space="preserve">prevede l’istituzione della Fondazione di partecipazione Tevere per Tutti. </w:t>
      </w:r>
    </w:p>
    <w:p w:rsidR="006A6561"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Il sistema di responsabilità pubblica e istituzionale che governa le sponde del Tevere è stato fino a oggi caratterizzato da sovrapposizioni e stratificazioni. Inoltre, la frammentarietà gestionale e il profluvio normativo hanno reso difficoltoso il perseguimento di una prospettiva collettiva in grado di rendere il Tevere un bene comune da restituire alla cittadinanza tramite la partecipazione e l’interazione propositiva tra i soggetti pubblici e privati che vivono e governano la città. Un esempio paradigmatico di forme di partenariato pubblico-comunità istituzionalizzato è rappresentato dalle </w:t>
      </w:r>
      <w:r w:rsidRPr="005D3998">
        <w:rPr>
          <w:rFonts w:ascii="Times New Roman" w:hAnsi="Times New Roman" w:cs="Times New Roman"/>
          <w:sz w:val="28"/>
          <w:szCs w:val="28"/>
        </w:rPr>
        <w:lastRenderedPageBreak/>
        <w:t xml:space="preserve">Fondazioni di Partecipazione (FdP), che, negli anni, è risultato uno degli strumenti giuridici più utilizzati in campo culturale, ambientale, della ricerca scientifica, nel settore sociale, nella rigenerazione urbana supportando la nascita di ecosistemi economici locali autosufficienti a partire una gestione collettiva di beni comuni in funzione dell’attivazione di processi si sviluppo locale basati sull’innovazione e la sostenibilità. </w:t>
      </w:r>
    </w:p>
    <w:p w:rsidR="008639A0" w:rsidRPr="005D3998" w:rsidRDefault="006A6561" w:rsidP="006A6561">
      <w:pPr>
        <w:shd w:val="clear" w:color="auto" w:fill="FFFFFF"/>
        <w:spacing w:after="120" w:line="276" w:lineRule="auto"/>
        <w:jc w:val="both"/>
        <w:rPr>
          <w:rFonts w:ascii="Times New Roman" w:hAnsi="Times New Roman" w:cs="Times New Roman"/>
          <w:sz w:val="28"/>
          <w:szCs w:val="28"/>
        </w:rPr>
      </w:pPr>
      <w:r w:rsidRPr="005D3998">
        <w:rPr>
          <w:rFonts w:ascii="Times New Roman" w:hAnsi="Times New Roman" w:cs="Times New Roman"/>
          <w:sz w:val="28"/>
          <w:szCs w:val="28"/>
        </w:rPr>
        <w:t>La Fondazione si candida pertanto ad essere lo strumento giuridico al perseguimento sul tratto fluviale urbano delle finalità di politica pubblica già poste alla base delle azioni intraprese da Regione Lazio con l’avvio del Contratto di Fiume per il Fiume Tevere e la disposizione normativa contenuta nell’art. 59 della legge regionale 22 ottobre 2018, n. 7 con la quale la Regione ha dettato norme per la riqualificazione del tratto metropolitano del fiume Tevere nell’ottica di una sua gestione integrata.</w:t>
      </w:r>
    </w:p>
    <w:p w:rsidR="00BD06B8" w:rsidRPr="005D3998" w:rsidRDefault="00BD06B8" w:rsidP="0034468D">
      <w:pPr>
        <w:spacing w:after="120" w:line="240" w:lineRule="auto"/>
        <w:jc w:val="both"/>
        <w:rPr>
          <w:rFonts w:ascii="Times New Roman" w:hAnsi="Times New Roman" w:cs="Times New Roman"/>
          <w:sz w:val="28"/>
          <w:szCs w:val="28"/>
        </w:rPr>
      </w:pPr>
    </w:p>
    <w:p w:rsidR="001D31A5" w:rsidRPr="000F7002" w:rsidRDefault="001D31A5"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Art. 2</w:t>
      </w:r>
      <w:r w:rsidR="003B521A" w:rsidRPr="000F7002">
        <w:rPr>
          <w:rFonts w:ascii="Times New Roman" w:hAnsi="Times New Roman" w:cs="Times New Roman"/>
          <w:b/>
          <w:sz w:val="28"/>
          <w:szCs w:val="28"/>
        </w:rPr>
        <w:t>1</w:t>
      </w:r>
    </w:p>
    <w:p w:rsidR="0004637C" w:rsidRPr="005D3998" w:rsidRDefault="003B521A" w:rsidP="0034468D">
      <w:pPr>
        <w:pStyle w:val="Paragrafoelenco"/>
        <w:spacing w:after="120"/>
        <w:ind w:left="0"/>
        <w:contextualSpacing w:val="0"/>
        <w:jc w:val="both"/>
        <w:rPr>
          <w:rFonts w:ascii="Times New Roman" w:hAnsi="Times New Roman" w:cs="Times New Roman"/>
          <w:sz w:val="28"/>
          <w:szCs w:val="28"/>
        </w:rPr>
      </w:pPr>
      <w:r w:rsidRPr="005D3998">
        <w:rPr>
          <w:rFonts w:ascii="Times New Roman" w:hAnsi="Times New Roman" w:cs="Times New Roman"/>
          <w:sz w:val="28"/>
          <w:szCs w:val="28"/>
        </w:rPr>
        <w:t xml:space="preserve">L’intervento normativa di cui al comma 1 è volto a dare attuazione all’articolo 14, comma 1 del decreto legislativo n. 33 del 2013 (Riordino della disciplina riguardante il diritto di accesso civico e gli obblighi di pubblicità, trasparenza e diffusione di informazioni da parte delle pubbliche amministrazioni). </w:t>
      </w:r>
      <w:r w:rsidRPr="000F7002">
        <w:rPr>
          <w:rFonts w:ascii="Times New Roman" w:hAnsi="Times New Roman" w:cs="Times New Roman"/>
          <w:b/>
          <w:sz w:val="28"/>
          <w:szCs w:val="28"/>
        </w:rPr>
        <w:t>Entro 90 giorni dall’entrata in vigore della presente legge, la Regione individua le posizioni dirigenziali equivalenti a quelle di cui ai commi 3 e 4 dell’art. 19, del dlgs 165/2001</w:t>
      </w:r>
      <w:r w:rsidRPr="005D3998">
        <w:rPr>
          <w:rFonts w:ascii="Times New Roman" w:hAnsi="Times New Roman" w:cs="Times New Roman"/>
          <w:sz w:val="28"/>
          <w:szCs w:val="28"/>
        </w:rPr>
        <w:t>.</w:t>
      </w:r>
    </w:p>
    <w:p w:rsidR="003B521A" w:rsidRPr="005D3998" w:rsidRDefault="003B521A" w:rsidP="0034468D">
      <w:pPr>
        <w:pStyle w:val="Paragrafoelenco"/>
        <w:spacing w:after="120"/>
        <w:ind w:left="0"/>
        <w:contextualSpacing w:val="0"/>
        <w:jc w:val="both"/>
        <w:rPr>
          <w:rFonts w:ascii="Times New Roman" w:hAnsi="Times New Roman" w:cs="Times New Roman"/>
          <w:sz w:val="28"/>
          <w:szCs w:val="28"/>
        </w:rPr>
      </w:pPr>
      <w:r w:rsidRPr="005D3998">
        <w:rPr>
          <w:rFonts w:ascii="Times New Roman" w:hAnsi="Times New Roman" w:cs="Times New Roman"/>
          <w:sz w:val="28"/>
          <w:szCs w:val="28"/>
        </w:rPr>
        <w:t>Al comma 2 si stabilisce che l'accesso alla qualifica dirigenziale unica del ruolo della dirigenza avviene sulla base della programmazione del fabbisogno di cui all'articolo 11</w:t>
      </w:r>
      <w:r w:rsidR="00A57C50" w:rsidRPr="005D3998">
        <w:rPr>
          <w:rFonts w:ascii="Times New Roman" w:hAnsi="Times New Roman" w:cs="Times New Roman"/>
          <w:sz w:val="28"/>
          <w:szCs w:val="28"/>
        </w:rPr>
        <w:t xml:space="preserve"> della legge regionale n. 6 del 2002</w:t>
      </w:r>
      <w:r w:rsidRPr="005D3998">
        <w:rPr>
          <w:rFonts w:ascii="Times New Roman" w:hAnsi="Times New Roman" w:cs="Times New Roman"/>
          <w:sz w:val="28"/>
          <w:szCs w:val="28"/>
        </w:rPr>
        <w:t>, e nel rispetto dei princìpi indicati all'articolo 2</w:t>
      </w:r>
      <w:r w:rsidR="00A57C50" w:rsidRPr="005D3998">
        <w:rPr>
          <w:rFonts w:ascii="Times New Roman" w:hAnsi="Times New Roman" w:cs="Times New Roman"/>
          <w:sz w:val="28"/>
          <w:szCs w:val="28"/>
        </w:rPr>
        <w:t xml:space="preserve"> della medesima legge</w:t>
      </w:r>
      <w:r w:rsidRPr="005D3998">
        <w:rPr>
          <w:rFonts w:ascii="Times New Roman" w:hAnsi="Times New Roman" w:cs="Times New Roman"/>
          <w:sz w:val="28"/>
          <w:szCs w:val="28"/>
        </w:rPr>
        <w:t>, a seguito di concorso per esami</w:t>
      </w:r>
      <w:r w:rsidR="00F04181" w:rsidRPr="005D3998">
        <w:rPr>
          <w:rFonts w:ascii="Times New Roman" w:hAnsi="Times New Roman" w:cs="Times New Roman"/>
          <w:sz w:val="28"/>
          <w:szCs w:val="28"/>
        </w:rPr>
        <w:t xml:space="preserve"> o titoli ed esami.</w:t>
      </w:r>
    </w:p>
    <w:p w:rsidR="0034468D" w:rsidRPr="005D3998" w:rsidRDefault="0034468D" w:rsidP="0034468D">
      <w:pPr>
        <w:spacing w:after="120"/>
        <w:jc w:val="both"/>
        <w:rPr>
          <w:rFonts w:ascii="Times New Roman" w:hAnsi="Times New Roman" w:cs="Times New Roman"/>
          <w:sz w:val="28"/>
          <w:szCs w:val="28"/>
        </w:rPr>
      </w:pPr>
    </w:p>
    <w:p w:rsidR="00BB58E0" w:rsidRPr="000F7002" w:rsidRDefault="00BB58E0" w:rsidP="0034468D">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Art. </w:t>
      </w:r>
      <w:r w:rsidR="00F04181" w:rsidRPr="000F7002">
        <w:rPr>
          <w:rFonts w:ascii="Times New Roman" w:hAnsi="Times New Roman" w:cs="Times New Roman"/>
          <w:b/>
          <w:sz w:val="28"/>
          <w:szCs w:val="28"/>
        </w:rPr>
        <w:t>22</w:t>
      </w:r>
    </w:p>
    <w:p w:rsidR="00162AF9" w:rsidRPr="000F7002" w:rsidRDefault="00620A5A" w:rsidP="00572636">
      <w:pPr>
        <w:spacing w:after="120" w:line="240" w:lineRule="auto"/>
        <w:jc w:val="both"/>
        <w:rPr>
          <w:rFonts w:ascii="Times New Roman" w:hAnsi="Times New Roman" w:cs="Times New Roman"/>
          <w:b/>
          <w:sz w:val="28"/>
          <w:szCs w:val="28"/>
        </w:rPr>
      </w:pPr>
      <w:r w:rsidRPr="000F7002">
        <w:rPr>
          <w:rFonts w:ascii="Times New Roman" w:hAnsi="Times New Roman" w:cs="Times New Roman"/>
          <w:b/>
          <w:sz w:val="28"/>
          <w:szCs w:val="28"/>
        </w:rPr>
        <w:t xml:space="preserve">L’articolo </w:t>
      </w:r>
      <w:r w:rsidR="00F04181" w:rsidRPr="000F7002">
        <w:rPr>
          <w:rFonts w:ascii="Times New Roman" w:hAnsi="Times New Roman" w:cs="Times New Roman"/>
          <w:b/>
          <w:sz w:val="28"/>
          <w:szCs w:val="28"/>
        </w:rPr>
        <w:t>22</w:t>
      </w:r>
      <w:r w:rsidRPr="000F7002">
        <w:rPr>
          <w:rFonts w:ascii="Times New Roman" w:hAnsi="Times New Roman" w:cs="Times New Roman"/>
          <w:b/>
          <w:sz w:val="28"/>
          <w:szCs w:val="28"/>
        </w:rPr>
        <w:t xml:space="preserve"> reca disposizioni modificative e abrogative di alcune previsioni di leggi regionali.</w:t>
      </w:r>
    </w:p>
    <w:p w:rsidR="003A2411" w:rsidRPr="005D3998" w:rsidRDefault="00620A5A" w:rsidP="00572636">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In specie, il comma 1 prevede l’abrogazione del comma 9 dell’articolo 6 della l.r.</w:t>
      </w:r>
      <w:r w:rsidR="003A2411" w:rsidRPr="005D3998">
        <w:rPr>
          <w:rFonts w:ascii="Times New Roman" w:hAnsi="Times New Roman" w:cs="Times New Roman"/>
          <w:sz w:val="28"/>
          <w:szCs w:val="28"/>
        </w:rPr>
        <w:t xml:space="preserve"> n. 82/1988</w:t>
      </w:r>
      <w:r w:rsidRPr="005D3998">
        <w:rPr>
          <w:rFonts w:ascii="Times New Roman" w:hAnsi="Times New Roman" w:cs="Times New Roman"/>
          <w:sz w:val="28"/>
          <w:szCs w:val="28"/>
        </w:rPr>
        <w:t xml:space="preserve">, </w:t>
      </w:r>
      <w:r w:rsidRPr="000F7002">
        <w:rPr>
          <w:rFonts w:ascii="Times New Roman" w:hAnsi="Times New Roman" w:cs="Times New Roman"/>
          <w:sz w:val="28"/>
          <w:szCs w:val="28"/>
        </w:rPr>
        <w:t>al fine di semplificare la disciplina vigente in materia di raccolta dei tartufi,</w:t>
      </w:r>
      <w:r w:rsidRPr="005D3998">
        <w:rPr>
          <w:rFonts w:ascii="Times New Roman" w:hAnsi="Times New Roman" w:cs="Times New Roman"/>
          <w:sz w:val="28"/>
          <w:szCs w:val="28"/>
        </w:rPr>
        <w:t xml:space="preserve"> superando il divieto, attualmente imposto </w:t>
      </w:r>
      <w:r w:rsidR="003A2411" w:rsidRPr="005D3998">
        <w:rPr>
          <w:rFonts w:ascii="Times New Roman" w:hAnsi="Times New Roman" w:cs="Times New Roman"/>
          <w:sz w:val="28"/>
          <w:szCs w:val="28"/>
        </w:rPr>
        <w:t xml:space="preserve">a coloro che </w:t>
      </w:r>
      <w:r w:rsidR="003A2411" w:rsidRPr="005D3998">
        <w:rPr>
          <w:rFonts w:ascii="Times New Roman" w:hAnsi="Times New Roman" w:cs="Times New Roman"/>
          <w:sz w:val="28"/>
          <w:szCs w:val="28"/>
        </w:rPr>
        <w:lastRenderedPageBreak/>
        <w:t>non abbiano superato l’esame</w:t>
      </w:r>
      <w:r w:rsidRPr="005D3998">
        <w:rPr>
          <w:rFonts w:ascii="Times New Roman" w:hAnsi="Times New Roman" w:cs="Times New Roman"/>
          <w:sz w:val="28"/>
          <w:szCs w:val="28"/>
        </w:rPr>
        <w:t>,</w:t>
      </w:r>
      <w:r w:rsidR="003A2411" w:rsidRPr="005D3998">
        <w:rPr>
          <w:rFonts w:ascii="Times New Roman" w:hAnsi="Times New Roman" w:cs="Times New Roman"/>
          <w:sz w:val="28"/>
          <w:szCs w:val="28"/>
        </w:rPr>
        <w:t xml:space="preserve"> </w:t>
      </w:r>
      <w:r w:rsidRPr="005D3998">
        <w:rPr>
          <w:rFonts w:ascii="Times New Roman" w:hAnsi="Times New Roman" w:cs="Times New Roman"/>
          <w:sz w:val="28"/>
          <w:szCs w:val="28"/>
        </w:rPr>
        <w:t xml:space="preserve">di </w:t>
      </w:r>
      <w:r w:rsidR="003A2411" w:rsidRPr="005D3998">
        <w:rPr>
          <w:rFonts w:ascii="Times New Roman" w:hAnsi="Times New Roman" w:cs="Times New Roman"/>
          <w:sz w:val="28"/>
          <w:szCs w:val="28"/>
        </w:rPr>
        <w:t xml:space="preserve">partecipazione alle successive prove d’esame per un </w:t>
      </w:r>
      <w:r w:rsidRPr="005D3998">
        <w:rPr>
          <w:rFonts w:ascii="Times New Roman" w:hAnsi="Times New Roman" w:cs="Times New Roman"/>
          <w:sz w:val="28"/>
          <w:szCs w:val="28"/>
        </w:rPr>
        <w:t xml:space="preserve">intero </w:t>
      </w:r>
      <w:r w:rsidR="003A2411" w:rsidRPr="005D3998">
        <w:rPr>
          <w:rFonts w:ascii="Times New Roman" w:hAnsi="Times New Roman" w:cs="Times New Roman"/>
          <w:sz w:val="28"/>
          <w:szCs w:val="28"/>
        </w:rPr>
        <w:t xml:space="preserve">anno. </w:t>
      </w:r>
    </w:p>
    <w:p w:rsidR="00A123CA" w:rsidRPr="005D3998" w:rsidRDefault="00620A5A" w:rsidP="00572636">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Il comma 2 dispone</w:t>
      </w:r>
      <w:r w:rsidR="00A123CA" w:rsidRPr="005D3998">
        <w:rPr>
          <w:rFonts w:ascii="Times New Roman" w:hAnsi="Times New Roman" w:cs="Times New Roman"/>
          <w:sz w:val="28"/>
          <w:szCs w:val="28"/>
        </w:rPr>
        <w:t xml:space="preserve"> l’abrogazione della lett. d) del comma 1 dell’art. 18ter della l.r. 24/1998.</w:t>
      </w:r>
      <w:r w:rsidRPr="005D3998">
        <w:rPr>
          <w:rFonts w:ascii="Times New Roman" w:hAnsi="Times New Roman" w:cs="Times New Roman"/>
          <w:sz w:val="28"/>
          <w:szCs w:val="28"/>
        </w:rPr>
        <w:t xml:space="preserve"> </w:t>
      </w:r>
      <w:r w:rsidR="00A123CA" w:rsidRPr="005D3998">
        <w:rPr>
          <w:rFonts w:ascii="Times New Roman" w:hAnsi="Times New Roman" w:cs="Times New Roman"/>
          <w:sz w:val="28"/>
          <w:szCs w:val="28"/>
        </w:rPr>
        <w:t>Con l’introduzione della lettera b-ter), operata dalla l.r. 17/2016, il legislatore ha previsto un procedimento specifico per “opere pubbliche o di interesse pubblico”. Tale norma introduce una categoria di opere nella quale sono ricomprese le “isole ecologiche per la raccolta differenziata dei rifiuti e gli impianti di compostaggio” disciplinata dalla lettera d) della quale, pertanto, si propone l’abrogazione. Inoltre, la lettera b-ter) è stata inserita dall’art. 3, comma 90, della l.r. 17/2016, ed è successiva alla lettera d) vigente, che è stata modificata dall’art. 1, comma 5, della l.r. 8/2014.</w:t>
      </w:r>
      <w:r w:rsidRPr="005D3998">
        <w:rPr>
          <w:rFonts w:ascii="Times New Roman" w:hAnsi="Times New Roman" w:cs="Times New Roman"/>
          <w:sz w:val="28"/>
          <w:szCs w:val="28"/>
        </w:rPr>
        <w:t xml:space="preserve"> </w:t>
      </w:r>
      <w:r w:rsidR="00A123CA" w:rsidRPr="005D3998">
        <w:rPr>
          <w:rFonts w:ascii="Times New Roman" w:hAnsi="Times New Roman" w:cs="Times New Roman"/>
          <w:sz w:val="28"/>
          <w:szCs w:val="28"/>
        </w:rPr>
        <w:t>Inoltre, si evidenzia che, ferma restando la necessità dell’autorizzazione paesaggistica sul progetto definitivo, il parere preventivo e vincolante del MIBAC previsto nella lett. b-ter) assicura una gestione condivisa della deroga e di conseguenza una maggiore tutela del bene paesaggistico.</w:t>
      </w:r>
    </w:p>
    <w:p w:rsidR="00AF7BEA" w:rsidRPr="005D3998" w:rsidRDefault="00AF7BEA" w:rsidP="0086097D">
      <w:pPr>
        <w:spacing w:line="240" w:lineRule="auto"/>
        <w:jc w:val="both"/>
        <w:rPr>
          <w:rFonts w:ascii="Times New Roman" w:hAnsi="Times New Roman" w:cs="Times New Roman"/>
          <w:sz w:val="28"/>
          <w:szCs w:val="28"/>
        </w:rPr>
      </w:pPr>
      <w:r w:rsidRPr="005D3998">
        <w:rPr>
          <w:rFonts w:ascii="Times New Roman" w:hAnsi="Times New Roman" w:cs="Times New Roman"/>
          <w:sz w:val="28"/>
          <w:szCs w:val="28"/>
        </w:rPr>
        <w:t>Al comma 3 l’abrogazione dell’articolo 82 della legge regionale 7 giugno 1999, n. 6 ha lo scopo di semplificare le disposizioni vigenti in materia di interventi in favore dei giovani, eliminando la precedente differenziazione tra “comunità giovanili” e “associazioni giovanili”, non sussistente a livello nazionale e a volte di difficile interpretazione, e riunificando la disciplina regionale nell’ambito della sola L.R. 29 Novembre 2001, n. 29 “Promozione e coordinamento delle politiche in favore dei giovani”.</w:t>
      </w:r>
    </w:p>
    <w:p w:rsidR="00AF7BEA" w:rsidRPr="005D3998" w:rsidRDefault="0086097D" w:rsidP="00AF7BEA">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S</w:t>
      </w:r>
      <w:r w:rsidR="00AF7BEA" w:rsidRPr="005D3998">
        <w:rPr>
          <w:rFonts w:ascii="Times New Roman" w:hAnsi="Times New Roman" w:cs="Times New Roman"/>
          <w:sz w:val="28"/>
          <w:szCs w:val="28"/>
        </w:rPr>
        <w:t xml:space="preserve">i è ritenuto opportuno precisare che le disposizioni dell’abrogando articolo 82 continuano comunque a disciplinare i procedimenti già avviati alla data di entrata in vigore della nuova disposizione. </w:t>
      </w:r>
    </w:p>
    <w:p w:rsidR="00AF7BEA" w:rsidRPr="005D3998" w:rsidRDefault="00AF7BEA" w:rsidP="00AF7BEA">
      <w:pPr>
        <w:spacing w:after="120" w:line="259"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Al comma 4 si propone l’abrogazione dell’articolo 16 della legge regionale 13 settembre 2004, n. 11 (Assestamento del bilancio di previsione della Regione Lazio per l'anno finanziario 2004), concernente la corresponsione di somme stanziate in bilancio ad enti partecipati. </w:t>
      </w:r>
    </w:p>
    <w:p w:rsidR="00060AF0" w:rsidRPr="005D3998" w:rsidRDefault="002F2139"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Al comma 5 s</w:t>
      </w:r>
      <w:r w:rsidR="00D045EB" w:rsidRPr="005D3998">
        <w:rPr>
          <w:rFonts w:ascii="Times New Roman" w:hAnsi="Times New Roman" w:cs="Times New Roman"/>
          <w:sz w:val="28"/>
          <w:szCs w:val="28"/>
        </w:rPr>
        <w:t xml:space="preserve">i propone la modifica all’art. 134 quinquies dell’articolo 2 della legge </w:t>
      </w:r>
      <w:r w:rsidR="0086097D" w:rsidRPr="005D3998">
        <w:rPr>
          <w:rFonts w:ascii="Times New Roman" w:hAnsi="Times New Roman" w:cs="Times New Roman"/>
          <w:sz w:val="28"/>
          <w:szCs w:val="28"/>
        </w:rPr>
        <w:t>regionale 14 luglio 2014, n. 7</w:t>
      </w:r>
      <w:r w:rsidR="00D045EB" w:rsidRPr="005D3998">
        <w:rPr>
          <w:rFonts w:ascii="Times New Roman" w:hAnsi="Times New Roman" w:cs="Times New Roman"/>
          <w:sz w:val="28"/>
          <w:szCs w:val="28"/>
        </w:rPr>
        <w:t xml:space="preserve">, </w:t>
      </w:r>
      <w:r w:rsidR="0086097D" w:rsidRPr="005D3998">
        <w:rPr>
          <w:rFonts w:ascii="Times New Roman" w:hAnsi="Times New Roman" w:cs="Times New Roman"/>
          <w:sz w:val="28"/>
          <w:szCs w:val="28"/>
        </w:rPr>
        <w:t xml:space="preserve">al fine di prorogare al </w:t>
      </w:r>
      <w:r w:rsidR="00D045EB" w:rsidRPr="005D3998">
        <w:rPr>
          <w:rFonts w:ascii="Times New Roman" w:hAnsi="Times New Roman" w:cs="Times New Roman"/>
          <w:sz w:val="28"/>
          <w:szCs w:val="28"/>
        </w:rPr>
        <w:t>30 settembre 2019</w:t>
      </w:r>
      <w:r w:rsidRPr="005D3998">
        <w:rPr>
          <w:rFonts w:ascii="Times New Roman" w:hAnsi="Times New Roman" w:cs="Times New Roman"/>
          <w:sz w:val="28"/>
          <w:szCs w:val="28"/>
        </w:rPr>
        <w:t xml:space="preserve"> il</w:t>
      </w:r>
      <w:r w:rsidR="00D045EB" w:rsidRPr="005D3998">
        <w:rPr>
          <w:rFonts w:ascii="Times New Roman" w:hAnsi="Times New Roman" w:cs="Times New Roman"/>
          <w:sz w:val="28"/>
          <w:szCs w:val="28"/>
        </w:rPr>
        <w:t xml:space="preserve"> termine di inizio lavori di cui all’art. 7 bis della L.r. 6 agosto 1999, n. 12.</w:t>
      </w:r>
      <w:r w:rsidR="00060AF0" w:rsidRPr="005D3998">
        <w:rPr>
          <w:rFonts w:ascii="Times New Roman" w:hAnsi="Times New Roman" w:cs="Times New Roman"/>
          <w:sz w:val="28"/>
          <w:szCs w:val="28"/>
        </w:rPr>
        <w:t xml:space="preserve"> </w:t>
      </w:r>
    </w:p>
    <w:p w:rsidR="00060AF0" w:rsidRPr="005D3998" w:rsidRDefault="00060AF0"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La proroga si rende necessaria per consentire la realizzazione di quegli interventi già ammessi a finanziamento che ad oggi non hanno ancora potuto iniziare i lavori a causa di ritardi e sospensioni da parte dei comuni dei procedimenti di concessione delle aree.</w:t>
      </w:r>
    </w:p>
    <w:p w:rsidR="002F2139" w:rsidRPr="005D3998" w:rsidRDefault="002F2139"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lastRenderedPageBreak/>
        <w:t xml:space="preserve">Il comma 6 </w:t>
      </w:r>
      <w:r w:rsidR="00121854" w:rsidRPr="005D3998">
        <w:rPr>
          <w:rFonts w:ascii="Times New Roman" w:hAnsi="Times New Roman" w:cs="Times New Roman"/>
          <w:sz w:val="28"/>
          <w:szCs w:val="28"/>
        </w:rPr>
        <w:t>reca una modifica alla legge regionale 2/2017,</w:t>
      </w:r>
      <w:r w:rsidRPr="005D3998">
        <w:rPr>
          <w:rFonts w:ascii="Times New Roman" w:hAnsi="Times New Roman" w:cs="Times New Roman"/>
          <w:sz w:val="28"/>
          <w:szCs w:val="28"/>
        </w:rPr>
        <w:t xml:space="preserve"> sulla disciplina relativa alle strutture </w:t>
      </w:r>
      <w:r w:rsidR="00121854" w:rsidRPr="005D3998">
        <w:rPr>
          <w:rFonts w:ascii="Times New Roman" w:hAnsi="Times New Roman" w:cs="Times New Roman"/>
          <w:sz w:val="28"/>
          <w:szCs w:val="28"/>
        </w:rPr>
        <w:t>presenti sulla rete dei cammini, al fine di coordinarne le previsioni con la normativa di settore vigente.</w:t>
      </w:r>
    </w:p>
    <w:p w:rsidR="00BB58E0" w:rsidRPr="005D3998" w:rsidRDefault="00F04181"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w:t>
      </w:r>
      <w:r w:rsidR="00060AF0" w:rsidRPr="005D3998">
        <w:rPr>
          <w:rFonts w:ascii="Times New Roman" w:hAnsi="Times New Roman" w:cs="Times New Roman"/>
          <w:sz w:val="28"/>
          <w:szCs w:val="28"/>
        </w:rPr>
        <w:t xml:space="preserve"> commi 7 e 8, modificano rispettivamente le leggi regionali 12 e 13 del 2019, dando seguito ad un impegno assunto con la Presidenza del Consiglio dei ministri in sede di esame della legittimità delle leggi regionali.</w:t>
      </w:r>
    </w:p>
    <w:p w:rsidR="00F04181" w:rsidRPr="005D3998" w:rsidRDefault="00F04181"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Il comma 9 interviene sulla legge regionale n. 55 del 1998 (Autorecupero del patrimonio immobiliare). Viene estesa la possibilità per enti ed istituti di ristrutturare immobili privati in cambio d</w:t>
      </w:r>
      <w:r w:rsidR="00A57C50" w:rsidRPr="005D3998">
        <w:rPr>
          <w:rFonts w:ascii="Times New Roman" w:hAnsi="Times New Roman" w:cs="Times New Roman"/>
          <w:sz w:val="28"/>
          <w:szCs w:val="28"/>
        </w:rPr>
        <w:t xml:space="preserve">el </w:t>
      </w:r>
      <w:r w:rsidRPr="005D3998">
        <w:rPr>
          <w:rFonts w:ascii="Times New Roman" w:hAnsi="Times New Roman" w:cs="Times New Roman"/>
          <w:sz w:val="28"/>
          <w:szCs w:val="28"/>
        </w:rPr>
        <w:t>comodato per 18 anni.</w:t>
      </w:r>
    </w:p>
    <w:p w:rsidR="00BD06B8" w:rsidRPr="005D3998" w:rsidRDefault="00BD06B8" w:rsidP="0086097D">
      <w:pPr>
        <w:spacing w:after="120" w:line="240" w:lineRule="auto"/>
        <w:jc w:val="both"/>
        <w:rPr>
          <w:rFonts w:ascii="Times New Roman" w:hAnsi="Times New Roman" w:cs="Times New Roman"/>
          <w:sz w:val="28"/>
          <w:szCs w:val="28"/>
        </w:rPr>
      </w:pPr>
    </w:p>
    <w:p w:rsidR="00BD06B8" w:rsidRPr="005D3998" w:rsidRDefault="00BD06B8" w:rsidP="0086097D">
      <w:pPr>
        <w:spacing w:after="120" w:line="240" w:lineRule="auto"/>
        <w:jc w:val="both"/>
        <w:rPr>
          <w:rFonts w:ascii="Times New Roman" w:hAnsi="Times New Roman" w:cs="Times New Roman"/>
          <w:sz w:val="28"/>
          <w:szCs w:val="28"/>
        </w:rPr>
      </w:pPr>
      <w:r w:rsidRPr="005D3998">
        <w:rPr>
          <w:rFonts w:ascii="Times New Roman" w:hAnsi="Times New Roman" w:cs="Times New Roman"/>
          <w:sz w:val="28"/>
          <w:szCs w:val="28"/>
        </w:rPr>
        <w:t xml:space="preserve">Infine, con l’art. 23 si dispone l’entrata in vigore del provvedimento. </w:t>
      </w:r>
    </w:p>
    <w:sectPr w:rsidR="00BD06B8" w:rsidRPr="005D3998" w:rsidSect="00C86CB5">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C7" w:rsidRDefault="004634C7" w:rsidP="007021B9">
      <w:pPr>
        <w:spacing w:after="0" w:line="240" w:lineRule="auto"/>
      </w:pPr>
      <w:r>
        <w:separator/>
      </w:r>
    </w:p>
  </w:endnote>
  <w:endnote w:type="continuationSeparator" w:id="0">
    <w:p w:rsidR="004634C7" w:rsidRDefault="004634C7" w:rsidP="0070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2937"/>
      <w:docPartObj>
        <w:docPartGallery w:val="Page Numbers (Bottom of Page)"/>
        <w:docPartUnique/>
      </w:docPartObj>
    </w:sdtPr>
    <w:sdtEndPr/>
    <w:sdtContent>
      <w:p w:rsidR="007021B9" w:rsidRDefault="007021B9">
        <w:pPr>
          <w:pStyle w:val="Pidipagina"/>
          <w:jc w:val="right"/>
        </w:pPr>
        <w:r>
          <w:fldChar w:fldCharType="begin"/>
        </w:r>
        <w:r>
          <w:instrText>PAGE   \* MERGEFORMAT</w:instrText>
        </w:r>
        <w:r>
          <w:fldChar w:fldCharType="separate"/>
        </w:r>
        <w:r w:rsidR="00CE0C81">
          <w:rPr>
            <w:noProof/>
          </w:rPr>
          <w:t>4</w:t>
        </w:r>
        <w:r>
          <w:fldChar w:fldCharType="end"/>
        </w:r>
      </w:p>
    </w:sdtContent>
  </w:sdt>
  <w:p w:rsidR="007021B9" w:rsidRDefault="007021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C7" w:rsidRDefault="004634C7" w:rsidP="007021B9">
      <w:pPr>
        <w:spacing w:after="0" w:line="240" w:lineRule="auto"/>
      </w:pPr>
      <w:r>
        <w:separator/>
      </w:r>
    </w:p>
  </w:footnote>
  <w:footnote w:type="continuationSeparator" w:id="0">
    <w:p w:rsidR="004634C7" w:rsidRDefault="004634C7" w:rsidP="00702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7C2"/>
    <w:multiLevelType w:val="hybridMultilevel"/>
    <w:tmpl w:val="00285A82"/>
    <w:lvl w:ilvl="0" w:tplc="E8C69A38">
      <w:start w:val="1"/>
      <w:numFmt w:val="lowerLetter"/>
      <w:lvlText w:val="%1)"/>
      <w:lvlJc w:val="left"/>
      <w:pPr>
        <w:ind w:left="1080" w:hanging="360"/>
      </w:pPr>
      <w:rPr>
        <w:rFonts w:hint="default"/>
      </w:rPr>
    </w:lvl>
    <w:lvl w:ilvl="1" w:tplc="A71420B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1371B7"/>
    <w:multiLevelType w:val="hybridMultilevel"/>
    <w:tmpl w:val="93CC8D3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24B28"/>
    <w:multiLevelType w:val="hybridMultilevel"/>
    <w:tmpl w:val="762CD9A2"/>
    <w:lvl w:ilvl="0" w:tplc="04100003">
      <w:start w:val="1"/>
      <w:numFmt w:val="bullet"/>
      <w:lvlText w:val="o"/>
      <w:lvlJc w:val="left"/>
      <w:pPr>
        <w:ind w:left="1065" w:hanging="705"/>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7858BF"/>
    <w:multiLevelType w:val="hybridMultilevel"/>
    <w:tmpl w:val="FD66C69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0E612D"/>
    <w:multiLevelType w:val="hybridMultilevel"/>
    <w:tmpl w:val="32B48A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9A9646B"/>
    <w:multiLevelType w:val="hybridMultilevel"/>
    <w:tmpl w:val="7276ABFC"/>
    <w:lvl w:ilvl="0" w:tplc="852C54A4">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CE68BE"/>
    <w:multiLevelType w:val="hybridMultilevel"/>
    <w:tmpl w:val="8E446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C93273"/>
    <w:multiLevelType w:val="hybridMultilevel"/>
    <w:tmpl w:val="93B293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8F687B"/>
    <w:multiLevelType w:val="hybridMultilevel"/>
    <w:tmpl w:val="7BCE0C86"/>
    <w:lvl w:ilvl="0" w:tplc="B8A040E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C2111F"/>
    <w:multiLevelType w:val="hybridMultilevel"/>
    <w:tmpl w:val="E6784B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2833FE"/>
    <w:multiLevelType w:val="hybridMultilevel"/>
    <w:tmpl w:val="9C167DE4"/>
    <w:lvl w:ilvl="0" w:tplc="0410000F">
      <w:start w:val="1"/>
      <w:numFmt w:val="decimal"/>
      <w:lvlText w:val="%1."/>
      <w:lvlJc w:val="left"/>
      <w:pPr>
        <w:ind w:left="720" w:hanging="360"/>
      </w:pPr>
      <w:rPr>
        <w:rFonts w:hint="default"/>
      </w:rPr>
    </w:lvl>
    <w:lvl w:ilvl="1" w:tplc="13EEEF0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BE65CD"/>
    <w:multiLevelType w:val="hybridMultilevel"/>
    <w:tmpl w:val="8A1CE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6F714F"/>
    <w:multiLevelType w:val="hybridMultilevel"/>
    <w:tmpl w:val="5BB47340"/>
    <w:lvl w:ilvl="0" w:tplc="04100001">
      <w:start w:val="1"/>
      <w:numFmt w:val="bullet"/>
      <w:lvlText w:val=""/>
      <w:lvlJc w:val="left"/>
      <w:pPr>
        <w:ind w:left="1080" w:hanging="360"/>
      </w:pPr>
      <w:rPr>
        <w:rFonts w:ascii="Symbol" w:hAnsi="Symbol" w:hint="default"/>
      </w:rPr>
    </w:lvl>
    <w:lvl w:ilvl="1" w:tplc="A71420B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C6302FF"/>
    <w:multiLevelType w:val="hybridMultilevel"/>
    <w:tmpl w:val="D570D7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E63CD7"/>
    <w:multiLevelType w:val="hybridMultilevel"/>
    <w:tmpl w:val="A23C4E9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6CB4E58"/>
    <w:multiLevelType w:val="hybridMultilevel"/>
    <w:tmpl w:val="7BCE0C86"/>
    <w:lvl w:ilvl="0" w:tplc="B8A040E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A329EF"/>
    <w:multiLevelType w:val="hybridMultilevel"/>
    <w:tmpl w:val="C130C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E877C5"/>
    <w:multiLevelType w:val="hybridMultilevel"/>
    <w:tmpl w:val="7C8C88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8"/>
  </w:num>
  <w:num w:numId="5">
    <w:abstractNumId w:val="1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7"/>
  </w:num>
  <w:num w:numId="11">
    <w:abstractNumId w:val="2"/>
  </w:num>
  <w:num w:numId="12">
    <w:abstractNumId w:val="0"/>
  </w:num>
  <w:num w:numId="13">
    <w:abstractNumId w:val="16"/>
  </w:num>
  <w:num w:numId="14">
    <w:abstractNumId w:val="12"/>
  </w:num>
  <w:num w:numId="15">
    <w:abstractNumId w:val="7"/>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F"/>
    <w:rsid w:val="000036C8"/>
    <w:rsid w:val="0000539C"/>
    <w:rsid w:val="00011421"/>
    <w:rsid w:val="0001564F"/>
    <w:rsid w:val="0002132F"/>
    <w:rsid w:val="00022D8A"/>
    <w:rsid w:val="00040C57"/>
    <w:rsid w:val="0004637C"/>
    <w:rsid w:val="00060AF0"/>
    <w:rsid w:val="000E21B9"/>
    <w:rsid w:val="000E670A"/>
    <w:rsid w:val="000F1342"/>
    <w:rsid w:val="000F7002"/>
    <w:rsid w:val="00121854"/>
    <w:rsid w:val="00133F8D"/>
    <w:rsid w:val="00153177"/>
    <w:rsid w:val="00153737"/>
    <w:rsid w:val="00162AF9"/>
    <w:rsid w:val="00176C74"/>
    <w:rsid w:val="00193D87"/>
    <w:rsid w:val="0019420F"/>
    <w:rsid w:val="00197878"/>
    <w:rsid w:val="001A28AC"/>
    <w:rsid w:val="001A4F54"/>
    <w:rsid w:val="001D31A5"/>
    <w:rsid w:val="001E198C"/>
    <w:rsid w:val="001F0945"/>
    <w:rsid w:val="00203DB5"/>
    <w:rsid w:val="0021459D"/>
    <w:rsid w:val="00220495"/>
    <w:rsid w:val="00230461"/>
    <w:rsid w:val="002476CB"/>
    <w:rsid w:val="0027353A"/>
    <w:rsid w:val="00280DEC"/>
    <w:rsid w:val="00290278"/>
    <w:rsid w:val="0029604F"/>
    <w:rsid w:val="0029637B"/>
    <w:rsid w:val="002B2FCC"/>
    <w:rsid w:val="002D7A0D"/>
    <w:rsid w:val="002F2139"/>
    <w:rsid w:val="00306F65"/>
    <w:rsid w:val="003159BD"/>
    <w:rsid w:val="00315D82"/>
    <w:rsid w:val="00335A64"/>
    <w:rsid w:val="00335E25"/>
    <w:rsid w:val="003427D5"/>
    <w:rsid w:val="0034468D"/>
    <w:rsid w:val="00357893"/>
    <w:rsid w:val="003603D2"/>
    <w:rsid w:val="003611CB"/>
    <w:rsid w:val="003A2411"/>
    <w:rsid w:val="003B1768"/>
    <w:rsid w:val="003B2ED3"/>
    <w:rsid w:val="003B521A"/>
    <w:rsid w:val="003B7659"/>
    <w:rsid w:val="003D1840"/>
    <w:rsid w:val="003D7B45"/>
    <w:rsid w:val="003E13EE"/>
    <w:rsid w:val="003F3CCC"/>
    <w:rsid w:val="004101ED"/>
    <w:rsid w:val="00427318"/>
    <w:rsid w:val="00435329"/>
    <w:rsid w:val="00461ABA"/>
    <w:rsid w:val="004634C7"/>
    <w:rsid w:val="004650F0"/>
    <w:rsid w:val="00474F0C"/>
    <w:rsid w:val="004774BA"/>
    <w:rsid w:val="004C4A63"/>
    <w:rsid w:val="004C603F"/>
    <w:rsid w:val="004D1A63"/>
    <w:rsid w:val="004D54DD"/>
    <w:rsid w:val="00502564"/>
    <w:rsid w:val="00514BF8"/>
    <w:rsid w:val="00526701"/>
    <w:rsid w:val="00550856"/>
    <w:rsid w:val="0055192D"/>
    <w:rsid w:val="00572636"/>
    <w:rsid w:val="0057721B"/>
    <w:rsid w:val="00592DD2"/>
    <w:rsid w:val="005D3998"/>
    <w:rsid w:val="005F70C3"/>
    <w:rsid w:val="006128BF"/>
    <w:rsid w:val="00617979"/>
    <w:rsid w:val="00620A5A"/>
    <w:rsid w:val="00626FA2"/>
    <w:rsid w:val="006646AF"/>
    <w:rsid w:val="006701CC"/>
    <w:rsid w:val="00671C51"/>
    <w:rsid w:val="0067449E"/>
    <w:rsid w:val="00676512"/>
    <w:rsid w:val="006836E1"/>
    <w:rsid w:val="006A6561"/>
    <w:rsid w:val="006E1156"/>
    <w:rsid w:val="007021B9"/>
    <w:rsid w:val="00711F81"/>
    <w:rsid w:val="00715DCB"/>
    <w:rsid w:val="00727586"/>
    <w:rsid w:val="00735688"/>
    <w:rsid w:val="00746B3E"/>
    <w:rsid w:val="00757A5E"/>
    <w:rsid w:val="007B7977"/>
    <w:rsid w:val="007C1001"/>
    <w:rsid w:val="007D641A"/>
    <w:rsid w:val="007E084B"/>
    <w:rsid w:val="008230C4"/>
    <w:rsid w:val="0083303F"/>
    <w:rsid w:val="00833601"/>
    <w:rsid w:val="00834662"/>
    <w:rsid w:val="00843D4A"/>
    <w:rsid w:val="0086097D"/>
    <w:rsid w:val="008639A0"/>
    <w:rsid w:val="0087193B"/>
    <w:rsid w:val="00877345"/>
    <w:rsid w:val="00877971"/>
    <w:rsid w:val="008849B7"/>
    <w:rsid w:val="008A3559"/>
    <w:rsid w:val="008D1390"/>
    <w:rsid w:val="008E0431"/>
    <w:rsid w:val="008F36BA"/>
    <w:rsid w:val="00914BC1"/>
    <w:rsid w:val="00941821"/>
    <w:rsid w:val="00944704"/>
    <w:rsid w:val="009468FE"/>
    <w:rsid w:val="00961B73"/>
    <w:rsid w:val="00971210"/>
    <w:rsid w:val="009932DD"/>
    <w:rsid w:val="009F2635"/>
    <w:rsid w:val="009F6F3D"/>
    <w:rsid w:val="009F7886"/>
    <w:rsid w:val="00A01A31"/>
    <w:rsid w:val="00A123CA"/>
    <w:rsid w:val="00A15C43"/>
    <w:rsid w:val="00A27E26"/>
    <w:rsid w:val="00A37B0B"/>
    <w:rsid w:val="00A57C50"/>
    <w:rsid w:val="00A61714"/>
    <w:rsid w:val="00A63F82"/>
    <w:rsid w:val="00A6597C"/>
    <w:rsid w:val="00A71C54"/>
    <w:rsid w:val="00A9744D"/>
    <w:rsid w:val="00AA54B0"/>
    <w:rsid w:val="00AB7FB2"/>
    <w:rsid w:val="00AC2FFB"/>
    <w:rsid w:val="00AD7502"/>
    <w:rsid w:val="00AE20E8"/>
    <w:rsid w:val="00AE3365"/>
    <w:rsid w:val="00AE4771"/>
    <w:rsid w:val="00AF7BEA"/>
    <w:rsid w:val="00B01C09"/>
    <w:rsid w:val="00B4230E"/>
    <w:rsid w:val="00B47063"/>
    <w:rsid w:val="00B5631F"/>
    <w:rsid w:val="00B6264B"/>
    <w:rsid w:val="00B933BC"/>
    <w:rsid w:val="00BB58E0"/>
    <w:rsid w:val="00BC3C47"/>
    <w:rsid w:val="00BD06B8"/>
    <w:rsid w:val="00BF4AD8"/>
    <w:rsid w:val="00C01F24"/>
    <w:rsid w:val="00C03A30"/>
    <w:rsid w:val="00C0647E"/>
    <w:rsid w:val="00C12738"/>
    <w:rsid w:val="00C13E5D"/>
    <w:rsid w:val="00C27A5F"/>
    <w:rsid w:val="00C3150B"/>
    <w:rsid w:val="00C3310B"/>
    <w:rsid w:val="00C63FD0"/>
    <w:rsid w:val="00C658F6"/>
    <w:rsid w:val="00C80A48"/>
    <w:rsid w:val="00C865D3"/>
    <w:rsid w:val="00C86CB5"/>
    <w:rsid w:val="00C91451"/>
    <w:rsid w:val="00C95E94"/>
    <w:rsid w:val="00C9739C"/>
    <w:rsid w:val="00CA7BB6"/>
    <w:rsid w:val="00CC4224"/>
    <w:rsid w:val="00CE09D7"/>
    <w:rsid w:val="00CE0C81"/>
    <w:rsid w:val="00CE75ED"/>
    <w:rsid w:val="00D0452F"/>
    <w:rsid w:val="00D045EB"/>
    <w:rsid w:val="00D30759"/>
    <w:rsid w:val="00D43093"/>
    <w:rsid w:val="00D51CCB"/>
    <w:rsid w:val="00D7644A"/>
    <w:rsid w:val="00D84827"/>
    <w:rsid w:val="00DA6FE0"/>
    <w:rsid w:val="00DE6FE8"/>
    <w:rsid w:val="00DE7AB7"/>
    <w:rsid w:val="00E257F4"/>
    <w:rsid w:val="00E343F6"/>
    <w:rsid w:val="00E34DB4"/>
    <w:rsid w:val="00E36B82"/>
    <w:rsid w:val="00E4778B"/>
    <w:rsid w:val="00E776E5"/>
    <w:rsid w:val="00EA363F"/>
    <w:rsid w:val="00EC1C59"/>
    <w:rsid w:val="00ED1319"/>
    <w:rsid w:val="00ED1FBE"/>
    <w:rsid w:val="00ED64C0"/>
    <w:rsid w:val="00EF0ADB"/>
    <w:rsid w:val="00F04181"/>
    <w:rsid w:val="00F64911"/>
    <w:rsid w:val="00F6542A"/>
    <w:rsid w:val="00F67D5A"/>
    <w:rsid w:val="00F8050A"/>
    <w:rsid w:val="00F80F87"/>
    <w:rsid w:val="00FA38AA"/>
    <w:rsid w:val="00FB1AD2"/>
    <w:rsid w:val="00FC0587"/>
    <w:rsid w:val="00FC2170"/>
    <w:rsid w:val="00FD16D8"/>
    <w:rsid w:val="00FD2332"/>
    <w:rsid w:val="00FE0322"/>
    <w:rsid w:val="00FE4499"/>
    <w:rsid w:val="00FF5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CFE9"/>
  <w15:chartTrackingRefBased/>
  <w15:docId w15:val="{E88F1084-D7DF-446E-AAD1-DA3DF1ED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049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564F"/>
    <w:rPr>
      <w:color w:val="0563C1" w:themeColor="hyperlink"/>
      <w:u w:val="single"/>
    </w:rPr>
  </w:style>
  <w:style w:type="paragraph" w:styleId="Paragrafoelenco">
    <w:name w:val="List Paragraph"/>
    <w:basedOn w:val="Normale"/>
    <w:link w:val="ParagrafoelencoCarattere"/>
    <w:uiPriority w:val="34"/>
    <w:qFormat/>
    <w:rsid w:val="0004637C"/>
    <w:pPr>
      <w:spacing w:after="200" w:line="276" w:lineRule="auto"/>
      <w:ind w:left="720"/>
      <w:contextualSpacing/>
    </w:pPr>
  </w:style>
  <w:style w:type="character" w:customStyle="1" w:styleId="ParagrafoelencoCarattere">
    <w:name w:val="Paragrafo elenco Carattere"/>
    <w:link w:val="Paragrafoelenco"/>
    <w:uiPriority w:val="34"/>
    <w:locked/>
    <w:rsid w:val="00AC2FFB"/>
  </w:style>
  <w:style w:type="character" w:styleId="Rimandocommento">
    <w:name w:val="annotation reference"/>
    <w:basedOn w:val="Carpredefinitoparagrafo"/>
    <w:uiPriority w:val="99"/>
    <w:semiHidden/>
    <w:unhideWhenUsed/>
    <w:rsid w:val="00A37B0B"/>
    <w:rPr>
      <w:sz w:val="16"/>
      <w:szCs w:val="16"/>
    </w:rPr>
  </w:style>
  <w:style w:type="paragraph" w:styleId="Testocommento">
    <w:name w:val="annotation text"/>
    <w:basedOn w:val="Normale"/>
    <w:link w:val="TestocommentoCarattere"/>
    <w:uiPriority w:val="99"/>
    <w:semiHidden/>
    <w:unhideWhenUsed/>
    <w:rsid w:val="00A37B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7B0B"/>
    <w:rPr>
      <w:sz w:val="20"/>
      <w:szCs w:val="20"/>
    </w:rPr>
  </w:style>
  <w:style w:type="paragraph" w:styleId="Testofumetto">
    <w:name w:val="Balloon Text"/>
    <w:basedOn w:val="Normale"/>
    <w:link w:val="TestofumettoCarattere"/>
    <w:uiPriority w:val="99"/>
    <w:semiHidden/>
    <w:unhideWhenUsed/>
    <w:rsid w:val="00EC1C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C59"/>
    <w:rPr>
      <w:rFonts w:ascii="Segoe UI" w:hAnsi="Segoe UI" w:cs="Segoe UI"/>
      <w:sz w:val="18"/>
      <w:szCs w:val="18"/>
    </w:rPr>
  </w:style>
  <w:style w:type="table" w:styleId="Grigliatabella">
    <w:name w:val="Table Grid"/>
    <w:basedOn w:val="Tabellanormale"/>
    <w:uiPriority w:val="39"/>
    <w:rsid w:val="0019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02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1B9"/>
  </w:style>
  <w:style w:type="paragraph" w:styleId="Pidipagina">
    <w:name w:val="footer"/>
    <w:basedOn w:val="Normale"/>
    <w:link w:val="PidipaginaCarattere"/>
    <w:uiPriority w:val="99"/>
    <w:unhideWhenUsed/>
    <w:rsid w:val="00702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363">
      <w:bodyDiv w:val="1"/>
      <w:marLeft w:val="0"/>
      <w:marRight w:val="0"/>
      <w:marTop w:val="0"/>
      <w:marBottom w:val="0"/>
      <w:divBdr>
        <w:top w:val="none" w:sz="0" w:space="0" w:color="auto"/>
        <w:left w:val="none" w:sz="0" w:space="0" w:color="auto"/>
        <w:bottom w:val="none" w:sz="0" w:space="0" w:color="auto"/>
        <w:right w:val="none" w:sz="0" w:space="0" w:color="auto"/>
      </w:divBdr>
    </w:div>
    <w:div w:id="167210336">
      <w:bodyDiv w:val="1"/>
      <w:marLeft w:val="0"/>
      <w:marRight w:val="0"/>
      <w:marTop w:val="0"/>
      <w:marBottom w:val="0"/>
      <w:divBdr>
        <w:top w:val="none" w:sz="0" w:space="0" w:color="auto"/>
        <w:left w:val="none" w:sz="0" w:space="0" w:color="auto"/>
        <w:bottom w:val="none" w:sz="0" w:space="0" w:color="auto"/>
        <w:right w:val="none" w:sz="0" w:space="0" w:color="auto"/>
      </w:divBdr>
    </w:div>
    <w:div w:id="402719508">
      <w:bodyDiv w:val="1"/>
      <w:marLeft w:val="0"/>
      <w:marRight w:val="0"/>
      <w:marTop w:val="0"/>
      <w:marBottom w:val="0"/>
      <w:divBdr>
        <w:top w:val="none" w:sz="0" w:space="0" w:color="auto"/>
        <w:left w:val="none" w:sz="0" w:space="0" w:color="auto"/>
        <w:bottom w:val="none" w:sz="0" w:space="0" w:color="auto"/>
        <w:right w:val="none" w:sz="0" w:space="0" w:color="auto"/>
      </w:divBdr>
    </w:div>
    <w:div w:id="737897503">
      <w:bodyDiv w:val="1"/>
      <w:marLeft w:val="0"/>
      <w:marRight w:val="0"/>
      <w:marTop w:val="0"/>
      <w:marBottom w:val="0"/>
      <w:divBdr>
        <w:top w:val="none" w:sz="0" w:space="0" w:color="auto"/>
        <w:left w:val="none" w:sz="0" w:space="0" w:color="auto"/>
        <w:bottom w:val="none" w:sz="0" w:space="0" w:color="auto"/>
        <w:right w:val="none" w:sz="0" w:space="0" w:color="auto"/>
      </w:divBdr>
    </w:div>
    <w:div w:id="1346634997">
      <w:bodyDiv w:val="1"/>
      <w:marLeft w:val="0"/>
      <w:marRight w:val="0"/>
      <w:marTop w:val="0"/>
      <w:marBottom w:val="0"/>
      <w:divBdr>
        <w:top w:val="none" w:sz="0" w:space="0" w:color="auto"/>
        <w:left w:val="none" w:sz="0" w:space="0" w:color="auto"/>
        <w:bottom w:val="none" w:sz="0" w:space="0" w:color="auto"/>
        <w:right w:val="none" w:sz="0" w:space="0" w:color="auto"/>
      </w:divBdr>
    </w:div>
    <w:div w:id="20677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02512F57A90B4C91ACF26F9F4D1210" ma:contentTypeVersion="11" ma:contentTypeDescription="Creare un nuovo documento." ma:contentTypeScope="" ma:versionID="a2607cbebe3f2dc971a0e8b271025acb">
  <xsd:schema xmlns:xsd="http://www.w3.org/2001/XMLSchema" xmlns:xs="http://www.w3.org/2001/XMLSchema" xmlns:p="http://schemas.microsoft.com/office/2006/metadata/properties" xmlns:ns3="81a5b67c-b6b8-4458-999d-3cddaad4f142" xmlns:ns4="7aade65a-b254-494b-9059-1d5be2a18e4e" targetNamespace="http://schemas.microsoft.com/office/2006/metadata/properties" ma:root="true" ma:fieldsID="e1659c00aa52d68413ffd786d44f3a22" ns3:_="" ns4:_="">
    <xsd:import namespace="81a5b67c-b6b8-4458-999d-3cddaad4f142"/>
    <xsd:import namespace="7aade65a-b254-494b-9059-1d5be2a18e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b67c-b6b8-4458-999d-3cddaad4f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de65a-b254-494b-9059-1d5be2a18e4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7B98-CCDE-4DB6-B355-6E24EFBA7362}">
  <ds:schemaRefs>
    <ds:schemaRef ds:uri="http://schemas.microsoft.com/sharepoint/v3/contenttype/forms"/>
  </ds:schemaRefs>
</ds:datastoreItem>
</file>

<file path=customXml/itemProps2.xml><?xml version="1.0" encoding="utf-8"?>
<ds:datastoreItem xmlns:ds="http://schemas.openxmlformats.org/officeDocument/2006/customXml" ds:itemID="{8D774D88-A348-4936-A3E9-22220EED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b67c-b6b8-4458-999d-3cddaad4f142"/>
    <ds:schemaRef ds:uri="7aade65a-b254-494b-9059-1d5be2a18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D3837-0CF1-4DC4-812E-9B12C3785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3364B-A6F9-461A-AEE3-17F26683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6408</Words>
  <Characters>36531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Bria</dc:creator>
  <cp:keywords/>
  <dc:description/>
  <cp:lastModifiedBy>Ugo Degl'innocenti</cp:lastModifiedBy>
  <cp:revision>2</cp:revision>
  <cp:lastPrinted>2020-01-29T15:32:00Z</cp:lastPrinted>
  <dcterms:created xsi:type="dcterms:W3CDTF">2020-01-29T17:22:00Z</dcterms:created>
  <dcterms:modified xsi:type="dcterms:W3CDTF">2020-01-29T17:22:00Z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0x0101009A02512F57A90B4C91ACF26F9F4D1210</vt:lpwstr>
  </property>
</Properties>
</file>